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4E97" w14:textId="77777777" w:rsidR="00E05E1E" w:rsidRDefault="00000000">
      <w:pPr>
        <w:spacing w:before="120" w:after="60"/>
      </w:pPr>
      <w:r>
        <w:rPr>
          <w:b/>
          <w:bCs/>
          <w:color w:val="1F3864"/>
          <w:sz w:val="36"/>
          <w:szCs w:val="36"/>
        </w:rPr>
        <w:t>PROTOCOLO DE VALIDAÇÃO ANALÍTICA EXTERNA</w:t>
      </w:r>
    </w:p>
    <w:p w14:paraId="3CB4B3EC" w14:textId="77777777" w:rsidR="00E05E1E" w:rsidRDefault="00000000">
      <w:pPr>
        <w:pBdr>
          <w:bottom w:val="single" w:sz="12" w:space="6" w:color="1F3864"/>
        </w:pBdr>
        <w:spacing w:after="240"/>
      </w:pPr>
      <w:r>
        <w:rPr>
          <w:color w:val="444444"/>
          <w:sz w:val="24"/>
          <w:szCs w:val="24"/>
        </w:rPr>
        <w:t xml:space="preserve">Desempenho do motor de quantificação volumétrica do </w:t>
      </w:r>
      <w:proofErr w:type="spellStart"/>
      <w:r>
        <w:rPr>
          <w:color w:val="444444"/>
          <w:sz w:val="24"/>
          <w:szCs w:val="24"/>
        </w:rPr>
        <w:t>LithosRad</w:t>
      </w:r>
      <w:proofErr w:type="spellEnd"/>
      <w:r>
        <w:rPr>
          <w:color w:val="444444"/>
          <w:sz w:val="24"/>
          <w:szCs w:val="24"/>
        </w:rPr>
        <w:t xml:space="preserve"> contra padrão físico de referência, no conjunto de dados público </w:t>
      </w:r>
      <w:proofErr w:type="spellStart"/>
      <w:r>
        <w:rPr>
          <w:color w:val="444444"/>
          <w:sz w:val="24"/>
          <w:szCs w:val="24"/>
        </w:rPr>
        <w:t>ct-uroliths-freiburg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05E1E" w14:paraId="30FE11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73FFE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4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0EFC9E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E05E1E" w14:paraId="2BB21E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A2032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Identificador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E1EF9D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VAE-001</w:t>
            </w:r>
          </w:p>
        </w:tc>
      </w:tr>
      <w:tr w:rsidR="00E05E1E" w14:paraId="7ED9F5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49AEE7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Versão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7C4EA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2.0 — </w:t>
            </w:r>
            <w:proofErr w:type="gramStart"/>
            <w:r>
              <w:rPr>
                <w:color w:val="000000"/>
                <w:sz w:val="20"/>
                <w:szCs w:val="20"/>
              </w:rPr>
              <w:t>reescrita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integral após a Fase 0 (inventário)</w:t>
            </w:r>
          </w:p>
        </w:tc>
      </w:tr>
      <w:tr w:rsidR="00E05E1E" w14:paraId="27ABEC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0046A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Substitui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D5FF32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VAE-001 v1.0, que foi redigida antes do acesso ao conjunto de dados e continha premissas de formato e de conteúdo posteriormente refutadas (ver Seção 4)</w:t>
            </w:r>
          </w:p>
        </w:tc>
      </w:tr>
      <w:tr w:rsidR="00E05E1E" w14:paraId="771DB4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9DF7B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Data de emissão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F3053" w14:textId="5BD88324" w:rsidR="00E05E1E" w:rsidRDefault="008242D2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12</w:t>
            </w:r>
            <w:r w:rsidR="00000000"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 xml:space="preserve">07 </w:t>
            </w:r>
            <w:r w:rsidR="00000000">
              <w:rPr>
                <w:color w:val="000000"/>
                <w:sz w:val="20"/>
                <w:szCs w:val="20"/>
              </w:rPr>
              <w:t>/ 2026</w:t>
            </w:r>
          </w:p>
        </w:tc>
      </w:tr>
      <w:tr w:rsidR="00E05E1E" w14:paraId="1CC83D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9AA0C6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Produto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6ABC3" w14:textId="77777777" w:rsidR="00E05E1E" w:rsidRDefault="00000000">
            <w:pPr>
              <w:spacing w:after="0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LithosRad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SaMD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detecção, medição e quantificação de cálculos renais em TC</w:t>
            </w:r>
          </w:p>
        </w:tc>
      </w:tr>
      <w:tr w:rsidR="00E05E1E" w14:paraId="00E735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FB3CCD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Enquadramento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5870AB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RDC nº 751/2022 — Classe II, </w:t>
            </w:r>
            <w:proofErr w:type="spellStart"/>
            <w:r>
              <w:rPr>
                <w:color w:val="000000"/>
                <w:sz w:val="20"/>
                <w:szCs w:val="20"/>
              </w:rPr>
              <w:t>CADe</w:t>
            </w:r>
            <w:proofErr w:type="spellEnd"/>
            <w:r>
              <w:rPr>
                <w:color w:val="000000"/>
                <w:sz w:val="20"/>
                <w:szCs w:val="20"/>
              </w:rPr>
              <w:t>, leitura concorrente</w:t>
            </w:r>
          </w:p>
        </w:tc>
      </w:tr>
      <w:tr w:rsidR="00E05E1E" w14:paraId="7959A6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B00E6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Natureza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E54D8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Validação analítica (</w:t>
            </w:r>
            <w:proofErr w:type="spellStart"/>
            <w:r>
              <w:rPr>
                <w:color w:val="000000"/>
                <w:sz w:val="20"/>
                <w:szCs w:val="20"/>
              </w:rPr>
              <w:t>bench</w:t>
            </w:r>
            <w:proofErr w:type="spellEnd"/>
            <w:r>
              <w:rPr>
                <w:color w:val="000000"/>
                <w:sz w:val="20"/>
                <w:szCs w:val="20"/>
              </w:rPr>
              <w:t>). Não envolve seres humanos. Não requer CEP/CONEP.</w:t>
            </w:r>
          </w:p>
        </w:tc>
      </w:tr>
      <w:tr w:rsidR="00E05E1E" w14:paraId="09E707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63D95B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Ciclo de vida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966D2C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Validação de software — ABNT NBR IEC 62304</w:t>
            </w:r>
          </w:p>
        </w:tc>
      </w:tr>
      <w:tr w:rsidR="00E05E1E" w14:paraId="39BF40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D1887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2F8CA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PRÉ-ESPECIFICADO — nenhum desfecho foi computado ou visualizado até a assinatura</w:t>
            </w:r>
          </w:p>
        </w:tc>
      </w:tr>
    </w:tbl>
    <w:p w14:paraId="7909881E" w14:textId="77777777" w:rsidR="00E05E1E" w:rsidRDefault="00E05E1E">
      <w:pPr>
        <w:spacing w:after="80"/>
      </w:pPr>
    </w:p>
    <w:p w14:paraId="7DB7CCB9" w14:textId="77777777" w:rsidR="00E05E1E" w:rsidRDefault="00000000">
      <w:r>
        <w:rPr>
          <w:b/>
          <w:bCs/>
        </w:rPr>
        <w:t xml:space="preserve">SOBRE A EXISTÊNCIA DE DUAS VERSÕES. </w:t>
      </w:r>
      <w:r>
        <w:t xml:space="preserve">A v1.0 foi redigida antes do acesso ao conjunto de dados e assumiu formato DICOM, geometria isotrópica de </w:t>
      </w:r>
      <w:proofErr w:type="spellStart"/>
      <w:r>
        <w:t>voxel</w:t>
      </w:r>
      <w:proofErr w:type="spellEnd"/>
      <w:r>
        <w:t>, e a disponibilidade de medições individuais dos avaliadores e do campo de origem (humano/animal). A Fase 0 (inventário estrutural, sem acesso a qualquer desfecho) refutou as quatro premissas. A v2.0 é a especificação definitiva, redigida com conhecimento da ESTRUTURA do conjunto de dados e sem conhecimento de qualquer DESFECHO. A v1.0 e o relatório da Fase 0 são anexados como registro da sequência de eventos.</w:t>
      </w:r>
    </w:p>
    <w:p w14:paraId="0F35CFB8" w14:textId="77777777" w:rsidR="00E05E1E" w:rsidRDefault="00000000">
      <w:pPr>
        <w:pStyle w:val="Ttulo1"/>
        <w:spacing w:before="280" w:after="140"/>
      </w:pPr>
      <w:r>
        <w:rPr>
          <w:b/>
          <w:bCs/>
          <w:color w:val="1F3864"/>
          <w:sz w:val="28"/>
          <w:szCs w:val="28"/>
        </w:rPr>
        <w:t>1. Objetivo</w:t>
      </w:r>
    </w:p>
    <w:p w14:paraId="1E6E78B9" w14:textId="77777777" w:rsidR="00E05E1E" w:rsidRDefault="00000000">
      <w:r>
        <w:t xml:space="preserve">Caracterizar a concordância entre o volume de cálculo renal reportado pelo </w:t>
      </w:r>
      <w:proofErr w:type="spellStart"/>
      <w:r>
        <w:t>LithosRad</w:t>
      </w:r>
      <w:proofErr w:type="spellEnd"/>
      <w:r>
        <w:t>, em seu ponto de operação declarado, e o volume físico de referência obtido por deslocamento de água, utilizando um conjunto de dados público, independente e não gerado pela HXBS Tecnologia Ltda.; e comparar seu desempenho ao de métodos de segmentação previamente publicados.</w:t>
      </w:r>
    </w:p>
    <w:p w14:paraId="0F1A1180" w14:textId="77777777" w:rsidR="00E05E1E" w:rsidRDefault="00000000">
      <w:r>
        <w:t xml:space="preserve">A reivindicação sob teste é de </w:t>
      </w:r>
      <w:r>
        <w:rPr>
          <w:b/>
          <w:bCs/>
        </w:rPr>
        <w:t>conformidade e caracterização</w:t>
      </w:r>
      <w:r>
        <w:t>, não de superioridade. Objetiva-se demonstrar que o motor de quantificação mede o que se propõe a medir, com viés caracterizado e limites de concordância declarados.</w:t>
      </w:r>
    </w:p>
    <w:p w14:paraId="761E0921" w14:textId="77777777" w:rsidR="00E05E1E" w:rsidRDefault="00000000">
      <w:pPr>
        <w:pStyle w:val="Ttulo1"/>
        <w:spacing w:before="280" w:after="140"/>
      </w:pPr>
      <w:r>
        <w:rPr>
          <w:b/>
          <w:bCs/>
          <w:color w:val="1F3864"/>
          <w:sz w:val="28"/>
          <w:szCs w:val="28"/>
        </w:rPr>
        <w:t>2. Escopo e limitações declaradas</w:t>
      </w:r>
    </w:p>
    <w:p w14:paraId="79512894" w14:textId="77777777" w:rsidR="00E05E1E" w:rsidRDefault="00000000">
      <w:r>
        <w:lastRenderedPageBreak/>
        <w:t>Este protocolo valida EXCLUSIVAMENTE a função de quantificação volumétrica. NÃO valida, e não pode ser citado como validando:</w:t>
      </w:r>
    </w:p>
    <w:p w14:paraId="398E9DB1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>a função de detecção (</w:t>
      </w:r>
      <w:proofErr w:type="spellStart"/>
      <w:r>
        <w:t>CADe</w:t>
      </w:r>
      <w:proofErr w:type="spellEnd"/>
      <w:r>
        <w:t xml:space="preserve">). O conjunto de dados consiste em volumes de interesse recortados, cada um contendo um único cálculo isolado em </w:t>
      </w:r>
      <w:proofErr w:type="spellStart"/>
      <w:r>
        <w:t>fantoma</w:t>
      </w:r>
      <w:proofErr w:type="spellEnd"/>
      <w:r>
        <w:t xml:space="preserve"> preenchido com água. Não há estruturas anatômicas </w:t>
      </w:r>
      <w:proofErr w:type="spellStart"/>
      <w:r>
        <w:t>confundidoras</w:t>
      </w:r>
      <w:proofErr w:type="spellEnd"/>
      <w:r>
        <w:t xml:space="preserve"> (pirâmides renais, </w:t>
      </w:r>
      <w:proofErr w:type="spellStart"/>
      <w:r>
        <w:t>flebólitos</w:t>
      </w:r>
      <w:proofErr w:type="spellEnd"/>
      <w:r>
        <w:t>, calcificação vascular, cortical óssea, contraste). É estruturalmente impossível gerar falsos positivos;</w:t>
      </w:r>
    </w:p>
    <w:p w14:paraId="2F4466BE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>o desempenho em cálculos com diâmetro inferior a 5 mm — inexistentes no conjunto de dados (menor diâmetro: 5,26 mm);</w:t>
      </w:r>
    </w:p>
    <w:p w14:paraId="6E265FE3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>a robustez a variações de aquisição — protocolo e tomógrafo únicos;</w:t>
      </w:r>
    </w:p>
    <w:p w14:paraId="513971A3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>o desempenho em população brasileira — a composição do conjunto é atípica (ver Seção 4.4);</w:t>
      </w:r>
    </w:p>
    <w:p w14:paraId="23C962E4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métodos que dependem da rampa completa de volume parcial (p. ex., ponderação fracionária de </w:t>
      </w:r>
      <w:proofErr w:type="spellStart"/>
      <w:r>
        <w:t>voxel</w:t>
      </w:r>
      <w:proofErr w:type="spellEnd"/>
      <w:r>
        <w:t>), pelo motivo exposto na Seção 4.3.</w:t>
      </w:r>
    </w:p>
    <w:p w14:paraId="7FE39526" w14:textId="77777777" w:rsidR="00E05E1E" w:rsidRDefault="00E05E1E">
      <w:pPr>
        <w:spacing w:after="80"/>
      </w:pPr>
    </w:p>
    <w:p w14:paraId="58DDC837" w14:textId="77777777" w:rsidR="00E05E1E" w:rsidRDefault="00000000">
      <w:r>
        <w:rPr>
          <w:b/>
          <w:bCs/>
        </w:rPr>
        <w:t xml:space="preserve">Decisão de projeto registrada. </w:t>
      </w:r>
      <w:r>
        <w:t xml:space="preserve">O </w:t>
      </w:r>
      <w:proofErr w:type="spellStart"/>
      <w:r>
        <w:t>LithosRad</w:t>
      </w:r>
      <w:proofErr w:type="spellEnd"/>
      <w:r>
        <w:t xml:space="preserve"> emprega um único estimador de volume em toda a faixa de tamanho. Não são utilizados métodos distintos por faixa, a fim de evitar descontinuidade da função de medição, que produziria variação </w:t>
      </w:r>
      <w:proofErr w:type="spellStart"/>
      <w:r>
        <w:t>artefatual</w:t>
      </w:r>
      <w:proofErr w:type="spellEnd"/>
      <w:r>
        <w:t xml:space="preserve"> de volume em exames de seguimento quando um cálculo cruzasse o limite entre faixas.</w:t>
      </w:r>
    </w:p>
    <w:p w14:paraId="4F56D818" w14:textId="77777777" w:rsidR="00E05E1E" w:rsidRDefault="00000000">
      <w:pPr>
        <w:pStyle w:val="Ttulo1"/>
        <w:spacing w:before="280" w:after="140"/>
      </w:pPr>
      <w:r>
        <w:rPr>
          <w:b/>
          <w:bCs/>
          <w:color w:val="1F3864"/>
          <w:sz w:val="28"/>
          <w:szCs w:val="28"/>
        </w:rPr>
        <w:t>3. Dispositivo em teste e ponto de operação</w:t>
      </w:r>
    </w:p>
    <w:p w14:paraId="51AD030F" w14:textId="77777777" w:rsidR="00E05E1E" w:rsidRDefault="00000000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3.1. Ponto de operação declarado</w:t>
      </w:r>
    </w:p>
    <w:p w14:paraId="755B3754" w14:textId="77777777" w:rsidR="00E05E1E" w:rsidRDefault="00000000">
      <w:r>
        <w:t xml:space="preserve">O </w:t>
      </w:r>
      <w:proofErr w:type="spellStart"/>
      <w:r>
        <w:t>LithosRad</w:t>
      </w:r>
      <w:proofErr w:type="spellEnd"/>
      <w:r>
        <w:t xml:space="preserve"> opera com limiar fixo de </w:t>
      </w:r>
      <w:r>
        <w:rPr>
          <w:b/>
          <w:bCs/>
        </w:rPr>
        <w:t>200 UH</w:t>
      </w:r>
      <w:r>
        <w:t>. Este valor foi definido durante o desenvolvimento do produto, ANTERIOR e INDEPENDENTEMENTE do acesso a este conjunto de dados. Sua justificativa é de DETECÇÃO: em avaliação interna sobre TC clínica, o limiar de 130 UH — herdado do escore de Agatston e adotado por convenção na literatura de litíase — produziu taxa inaceitável de falsos positivos, notadamente pela seleção de pirâmides renais hiperdensas. O limiar de 200 UH reduziu substancialmente esses falsos positivos.</w:t>
      </w:r>
    </w:p>
    <w:p w14:paraId="47668C66" w14:textId="77777777" w:rsidR="00E05E1E" w:rsidRDefault="00E05E1E">
      <w:pPr>
        <w:spacing w:after="80"/>
      </w:pPr>
    </w:p>
    <w:p w14:paraId="4424FAB3" w14:textId="77777777" w:rsidR="00E05E1E" w:rsidRDefault="00000000">
      <w:r>
        <w:rPr>
          <w:b/>
          <w:bCs/>
        </w:rPr>
        <w:t xml:space="preserve">Declaração de limitação da justificativa. </w:t>
      </w:r>
      <w:r>
        <w:t>Reconhece-se expressamente que a justificativa acima é de DETECÇÃO, não de VOLUMETRIA. Não há razão física para que o limiar que melhor separa cálculo de parênquima hiperdenso seja também o que melhor localiza a borda de um cálculo já detectado. A adoção de 200 UH para ambas as funções é uma decisão de engenharia, ora explicitada, e o presente estudo destina-se justamente a caracterizar o viés volumétrico que dela decorre.</w:t>
      </w:r>
    </w:p>
    <w:p w14:paraId="59B2701B" w14:textId="77777777" w:rsidR="00E05E1E" w:rsidRDefault="00000000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3.2. Congelamento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E05E1E" w14:paraId="79076D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8395CD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8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692B8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Registro</w:t>
            </w:r>
          </w:p>
        </w:tc>
      </w:tr>
      <w:tr w:rsidR="00E05E1E" w14:paraId="0FB9AD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137840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Versão do </w:t>
            </w:r>
            <w:proofErr w:type="spellStart"/>
            <w:r>
              <w:rPr>
                <w:color w:val="000000"/>
                <w:sz w:val="20"/>
                <w:szCs w:val="20"/>
              </w:rPr>
              <w:t>LithosRad</w:t>
            </w:r>
            <w:proofErr w:type="spellEnd"/>
          </w:p>
        </w:tc>
        <w:tc>
          <w:tcPr>
            <w:tcW w:w="58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8F41C" w14:textId="0FEBF3B9" w:rsidR="00E05E1E" w:rsidRDefault="008242D2">
            <w:pPr>
              <w:spacing w:after="0"/>
              <w:jc w:val="left"/>
            </w:pPr>
            <w:r>
              <w:t>A preencher no congelamento (fase 1.9)</w:t>
            </w:r>
          </w:p>
        </w:tc>
      </w:tr>
      <w:tr w:rsidR="00E05E1E" w14:paraId="72C16C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7D98C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Limiar de segmentação</w:t>
            </w:r>
          </w:p>
        </w:tc>
        <w:tc>
          <w:tcPr>
            <w:tcW w:w="58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A1A847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200 UH</w:t>
            </w:r>
          </w:p>
        </w:tc>
      </w:tr>
      <w:tr w:rsidR="00E05E1E" w14:paraId="1F8CA2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5F1580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Conectividade</w:t>
            </w:r>
          </w:p>
        </w:tc>
        <w:tc>
          <w:tcPr>
            <w:tcW w:w="58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C87065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26-conectividade, 3D</w:t>
            </w:r>
          </w:p>
        </w:tc>
      </w:tr>
      <w:tr w:rsidR="00E05E1E" w14:paraId="203E78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56BBD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lastRenderedPageBreak/>
              <w:t>Preenchimento de cavidades</w:t>
            </w:r>
          </w:p>
        </w:tc>
        <w:tc>
          <w:tcPr>
            <w:tcW w:w="58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43346A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Ativo (</w:t>
            </w:r>
            <w:proofErr w:type="spellStart"/>
            <w:r>
              <w:rPr>
                <w:color w:val="000000"/>
                <w:sz w:val="20"/>
                <w:szCs w:val="20"/>
              </w:rPr>
              <w:t>binary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holes</w:t>
            </w:r>
            <w:proofErr w:type="spellEnd"/>
            <w:r>
              <w:rPr>
                <w:color w:val="000000"/>
                <w:sz w:val="20"/>
                <w:szCs w:val="20"/>
              </w:rPr>
              <w:t>, 3D)</w:t>
            </w:r>
          </w:p>
        </w:tc>
      </w:tr>
      <w:tr w:rsidR="00E05E1E" w14:paraId="6608D9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A6CC8D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Componente mínimo</w:t>
            </w:r>
          </w:p>
        </w:tc>
        <w:tc>
          <w:tcPr>
            <w:tcW w:w="58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1EDB3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≥ 3 </w:t>
            </w:r>
            <w:proofErr w:type="spellStart"/>
            <w:r>
              <w:rPr>
                <w:color w:val="000000"/>
                <w:sz w:val="20"/>
                <w:szCs w:val="20"/>
              </w:rPr>
              <w:t>voxels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conexos</w:t>
            </w:r>
          </w:p>
        </w:tc>
      </w:tr>
      <w:tr w:rsidR="00E05E1E" w14:paraId="7A0D03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9B24F0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Volume</w:t>
            </w:r>
          </w:p>
        </w:tc>
        <w:tc>
          <w:tcPr>
            <w:tcW w:w="58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4FEBA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N × </w:t>
            </w:r>
            <w:proofErr w:type="spellStart"/>
            <w:r>
              <w:rPr>
                <w:color w:val="000000"/>
                <w:sz w:val="20"/>
                <w:szCs w:val="20"/>
              </w:rPr>
              <w:t>voxvol_mL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(por cálculo — ver Seção 4.2)</w:t>
            </w:r>
          </w:p>
        </w:tc>
      </w:tr>
      <w:tr w:rsidR="00E05E1E" w14:paraId="6DD80A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92A9B" w14:textId="77777777" w:rsidR="00E05E1E" w:rsidRDefault="00000000">
            <w:pPr>
              <w:spacing w:after="0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Commit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(SHA-1)</w:t>
            </w:r>
          </w:p>
        </w:tc>
        <w:tc>
          <w:tcPr>
            <w:tcW w:w="58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247638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_________________________________</w:t>
            </w:r>
          </w:p>
        </w:tc>
      </w:tr>
      <w:tr w:rsidR="00E05E1E" w14:paraId="2552DF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0947EB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SHA-256 deste protocolo</w:t>
            </w:r>
          </w:p>
        </w:tc>
        <w:tc>
          <w:tcPr>
            <w:tcW w:w="58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18B134" w14:textId="52137587" w:rsidR="00E05E1E" w:rsidRDefault="00067A5C">
            <w:pPr>
              <w:spacing w:after="0"/>
              <w:jc w:val="left"/>
            </w:pPr>
            <w:r w:rsidRPr="00067A5C">
              <w:rPr>
                <w:color w:val="000000"/>
                <w:sz w:val="20"/>
                <w:szCs w:val="20"/>
              </w:rPr>
              <w:t xml:space="preserve">ver </w:t>
            </w:r>
            <w:proofErr w:type="spellStart"/>
            <w:r w:rsidRPr="00067A5C">
              <w:rPr>
                <w:color w:val="000000"/>
                <w:sz w:val="20"/>
                <w:szCs w:val="20"/>
              </w:rPr>
              <w:t>protocol</w:t>
            </w:r>
            <w:proofErr w:type="spellEnd"/>
            <w:r w:rsidRPr="00067A5C">
              <w:rPr>
                <w:color w:val="000000"/>
                <w:sz w:val="20"/>
                <w:szCs w:val="20"/>
              </w:rPr>
              <w:t>/protocol_sha256.txt</w:t>
            </w:r>
          </w:p>
        </w:tc>
      </w:tr>
      <w:tr w:rsidR="00E05E1E" w14:paraId="3D56EB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55E407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Data/hora do congelamento</w:t>
            </w:r>
          </w:p>
        </w:tc>
        <w:tc>
          <w:tcPr>
            <w:tcW w:w="58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19E445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____ / ____ / </w:t>
            </w:r>
            <w:proofErr w:type="gramStart"/>
            <w:r>
              <w:rPr>
                <w:color w:val="000000"/>
                <w:sz w:val="20"/>
                <w:szCs w:val="20"/>
              </w:rPr>
              <w:t>2026 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____:____ (BRT)</w:t>
            </w:r>
          </w:p>
        </w:tc>
      </w:tr>
      <w:tr w:rsidR="00E05E1E" w14:paraId="0161CE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873671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Responsável</w:t>
            </w:r>
          </w:p>
        </w:tc>
        <w:tc>
          <w:tcPr>
            <w:tcW w:w="58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4064A4" w14:textId="4C0E5906" w:rsidR="00E05E1E" w:rsidRDefault="00067A5C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Artur Montemezzo</w:t>
            </w:r>
          </w:p>
        </w:tc>
      </w:tr>
    </w:tbl>
    <w:p w14:paraId="2037412C" w14:textId="77777777" w:rsidR="00E05E1E" w:rsidRDefault="00E05E1E">
      <w:pPr>
        <w:spacing w:after="80"/>
      </w:pPr>
    </w:p>
    <w:p w14:paraId="02CBF7FA" w14:textId="77777777" w:rsidR="00E05E1E" w:rsidRDefault="00000000">
      <w:r>
        <w:rPr>
          <w:b/>
          <w:bCs/>
        </w:rPr>
        <w:t xml:space="preserve">Regra de alteração. </w:t>
      </w:r>
      <w:r>
        <w:t>O ponto de operação pode ser alterado com base no CONJUNTO DE DESENVOLVIMENTO (Seção 5) e apenas nele. Qualquer alteração deve ser registrada com data e justificativa, e o novo valor congelado ANTES de qualquer acesso ao conjunto lacrado. Alteração posterior ao acesso ao conjunto lacrado invalida o estudo como validação.</w:t>
      </w:r>
    </w:p>
    <w:p w14:paraId="65F4D945" w14:textId="77777777" w:rsidR="00E05E1E" w:rsidRDefault="00000000">
      <w:pPr>
        <w:pStyle w:val="Ttulo1"/>
        <w:spacing w:before="280" w:after="140"/>
      </w:pPr>
      <w:r>
        <w:rPr>
          <w:b/>
          <w:bCs/>
          <w:color w:val="1F3864"/>
          <w:sz w:val="28"/>
          <w:szCs w:val="28"/>
        </w:rPr>
        <w:t>4. Conjunto de dados — o que ele realmente contém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6"/>
        <w:gridCol w:w="6500"/>
      </w:tblGrid>
      <w:tr w:rsidR="00E05E1E" w14:paraId="66D5D5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400B09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4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F46510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05E1E" w14:paraId="13E2DE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EB661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Identificação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2789EA" w14:textId="77777777" w:rsidR="00E05E1E" w:rsidRDefault="00000000">
            <w:pPr>
              <w:spacing w:after="0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ct-uroliths-freiburg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DOI 10.6084/m9.figshare.21992264</w:t>
            </w:r>
          </w:p>
        </w:tc>
      </w:tr>
      <w:tr w:rsidR="00E05E1E" w14:paraId="7C2701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8578AE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Autores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358EA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Kellner E, Neubauer J. Publicado em 2023-02-08.</w:t>
            </w:r>
          </w:p>
        </w:tc>
      </w:tr>
      <w:tr w:rsidR="00E05E1E" w14:paraId="55E1A1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740717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Licença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410175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CC BY 4.0 — verificada. Uso comercial permitido mediante atribuição.</w:t>
            </w:r>
          </w:p>
        </w:tc>
      </w:tr>
      <w:tr w:rsidR="00E05E1E" w14:paraId="29BFE8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0F9756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Arquivos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D9BD5" w14:textId="77777777" w:rsidR="00E05E1E" w:rsidRDefault="00000000">
            <w:pPr>
              <w:spacing w:after="0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ct-uroliths_matlab.mat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(18.175.283 B) e ct-uroliths_table.csv (2.030 B)</w:t>
            </w:r>
          </w:p>
        </w:tc>
      </w:tr>
      <w:tr w:rsidR="00E05E1E" w14:paraId="0B47FB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424E5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SHA-256 (.</w:t>
            </w:r>
            <w:proofErr w:type="spellStart"/>
            <w:r>
              <w:rPr>
                <w:color w:val="000000"/>
                <w:sz w:val="20"/>
                <w:szCs w:val="20"/>
              </w:rPr>
              <w:t>mat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84626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d8184b37eb6a8fa4aa4affd249787068d5e77f19388323b8e99736c99313ec87</w:t>
            </w:r>
          </w:p>
        </w:tc>
      </w:tr>
      <w:tr w:rsidR="00E05E1E" w14:paraId="112BE8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803DC4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SHA-256 (.</w:t>
            </w:r>
            <w:proofErr w:type="spellStart"/>
            <w:r>
              <w:rPr>
                <w:color w:val="000000"/>
                <w:sz w:val="20"/>
                <w:szCs w:val="20"/>
              </w:rPr>
              <w:t>csv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CE7A05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f31e53f8c126e6a9f4713748c18ee3acb1f0febd4dc71eff886498d797b183c6</w:t>
            </w:r>
          </w:p>
        </w:tc>
      </w:tr>
      <w:tr w:rsidR="00E05E1E" w14:paraId="0331FC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7B0385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Formato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2FEB2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MATLAB. </w:t>
            </w:r>
            <w:proofErr w:type="spellStart"/>
            <w:r>
              <w:rPr>
                <w:color w:val="000000"/>
                <w:sz w:val="20"/>
                <w:szCs w:val="20"/>
              </w:rPr>
              <w:t>Struct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1×101 '</w:t>
            </w:r>
            <w:proofErr w:type="spellStart"/>
            <w:r>
              <w:rPr>
                <w:color w:val="000000"/>
                <w:sz w:val="20"/>
                <w:szCs w:val="20"/>
              </w:rPr>
              <w:t>stones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', campos: </w:t>
            </w:r>
            <w:proofErr w:type="spellStart"/>
            <w:r>
              <w:rPr>
                <w:color w:val="000000"/>
                <w:sz w:val="20"/>
                <w:szCs w:val="20"/>
              </w:rPr>
              <w:t>gt_diam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gt_vol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imgdata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voxsiz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voxvol_mL</w:t>
            </w:r>
            <w:proofErr w:type="spellEnd"/>
          </w:p>
        </w:tc>
      </w:tr>
      <w:tr w:rsidR="00E05E1E" w14:paraId="227E45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BA6F53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4D9C9F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101 </w:t>
            </w:r>
            <w:proofErr w:type="spellStart"/>
            <w:r>
              <w:rPr>
                <w:color w:val="000000"/>
                <w:sz w:val="20"/>
                <w:szCs w:val="20"/>
              </w:rPr>
              <w:t>urólitos</w:t>
            </w:r>
            <w:proofErr w:type="spellEnd"/>
            <w:r>
              <w:rPr>
                <w:color w:val="000000"/>
                <w:sz w:val="20"/>
                <w:szCs w:val="20"/>
              </w:rPr>
              <w:t>, um por volume de interesse</w:t>
            </w:r>
          </w:p>
        </w:tc>
      </w:tr>
      <w:tr w:rsidR="00E05E1E" w14:paraId="59FBA5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40BD25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Geometria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A527FC" w14:textId="77777777" w:rsidR="00E05E1E" w:rsidRDefault="00000000">
            <w:pPr>
              <w:spacing w:after="0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VOIs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cúbicos recortados (~79³ a 83³ </w:t>
            </w:r>
            <w:proofErr w:type="spellStart"/>
            <w:r>
              <w:rPr>
                <w:color w:val="000000"/>
                <w:sz w:val="20"/>
                <w:szCs w:val="20"/>
              </w:rPr>
              <w:t>voxels</w:t>
            </w:r>
            <w:proofErr w:type="spellEnd"/>
            <w:r>
              <w:rPr>
                <w:color w:val="000000"/>
                <w:sz w:val="20"/>
                <w:szCs w:val="20"/>
              </w:rPr>
              <w:t>), um cálculo isolado cada</w:t>
            </w:r>
          </w:p>
        </w:tc>
      </w:tr>
      <w:tr w:rsidR="00E05E1E" w14:paraId="19547F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7CBE8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Meio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6388F" w14:textId="77777777" w:rsidR="00E05E1E" w:rsidRDefault="00000000">
            <w:pPr>
              <w:spacing w:after="0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Fantoma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antropomórfico preenchido com água</w:t>
            </w:r>
          </w:p>
        </w:tc>
      </w:tr>
      <w:tr w:rsidR="00E05E1E" w14:paraId="7BE341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9AB292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Aquisição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C16242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Siemens </w:t>
            </w:r>
            <w:proofErr w:type="spellStart"/>
            <w:r>
              <w:rPr>
                <w:color w:val="000000"/>
                <w:sz w:val="20"/>
                <w:szCs w:val="20"/>
              </w:rPr>
              <w:t>Somatom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Flash; 100 </w:t>
            </w:r>
            <w:proofErr w:type="spellStart"/>
            <w:r>
              <w:rPr>
                <w:color w:val="000000"/>
                <w:sz w:val="20"/>
                <w:szCs w:val="20"/>
              </w:rPr>
              <w:t>kVp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gramStart"/>
            <w:r>
              <w:rPr>
                <w:color w:val="000000"/>
                <w:sz w:val="20"/>
                <w:szCs w:val="20"/>
              </w:rPr>
              <w:t>55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CTDIvol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2,3 </w:t>
            </w:r>
            <w:proofErr w:type="spellStart"/>
            <w:r>
              <w:rPr>
                <w:color w:val="000000"/>
                <w:sz w:val="20"/>
                <w:szCs w:val="20"/>
              </w:rPr>
              <w:t>mGy</w:t>
            </w:r>
            <w:proofErr w:type="spellEnd"/>
            <w:r>
              <w:rPr>
                <w:color w:val="000000"/>
                <w:sz w:val="20"/>
                <w:szCs w:val="20"/>
              </w:rPr>
              <w:t>; kernel I31f; 0,7 mm de espessura</w:t>
            </w:r>
          </w:p>
        </w:tc>
      </w:tr>
      <w:tr w:rsidR="00E05E1E" w14:paraId="48767F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5645C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Referência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8050C" w14:textId="77777777" w:rsidR="00E05E1E" w:rsidRDefault="00000000">
            <w:pPr>
              <w:spacing w:after="0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gt_vol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(deslocamento de água, </w:t>
            </w:r>
            <w:proofErr w:type="spellStart"/>
            <w:r>
              <w:rPr>
                <w:color w:val="000000"/>
                <w:sz w:val="20"/>
                <w:szCs w:val="20"/>
              </w:rPr>
              <w:t>mL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e </w:t>
            </w:r>
            <w:proofErr w:type="spellStart"/>
            <w:r>
              <w:rPr>
                <w:color w:val="000000"/>
                <w:sz w:val="20"/>
                <w:szCs w:val="20"/>
              </w:rPr>
              <w:t>gt_diam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(paquímetro, mm) — média de três urologistas</w:t>
            </w:r>
          </w:p>
        </w:tc>
      </w:tr>
    </w:tbl>
    <w:p w14:paraId="04FB435E" w14:textId="77777777" w:rsidR="00E05E1E" w:rsidRDefault="00000000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4.1. Achados da Fase 0 que contradizem a publicação</w:t>
      </w:r>
    </w:p>
    <w:p w14:paraId="36540D38" w14:textId="77777777" w:rsidR="00E05E1E" w:rsidRDefault="00000000">
      <w:r>
        <w:lastRenderedPageBreak/>
        <w:t>A Fase 0 identificou três divergências entre o artigo original e o dado publicado. Em todas, prevalece o DADO. As três teriam introduzido erro sistemático de magnitude comparável aos efeitos sob investigação.</w:t>
      </w:r>
    </w:p>
    <w:p w14:paraId="518BED4B" w14:textId="77777777" w:rsidR="00E05E1E" w:rsidRDefault="00000000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 xml:space="preserve">4.2. ACHADO 1 — Geometria do </w:t>
      </w:r>
      <w:proofErr w:type="spellStart"/>
      <w:r>
        <w:rPr>
          <w:b/>
          <w:bCs/>
          <w:color w:val="1F3864"/>
          <w:sz w:val="24"/>
          <w:szCs w:val="24"/>
        </w:rPr>
        <w:t>voxel</w:t>
      </w:r>
      <w:proofErr w:type="spellEnd"/>
      <w:r>
        <w:rPr>
          <w:b/>
          <w:bCs/>
          <w:color w:val="1F3864"/>
          <w:sz w:val="24"/>
          <w:szCs w:val="24"/>
        </w:rPr>
        <w:t xml:space="preserve">: o campo </w:t>
      </w:r>
      <w:proofErr w:type="spellStart"/>
      <w:r>
        <w:rPr>
          <w:b/>
          <w:bCs/>
          <w:color w:val="1F3864"/>
          <w:sz w:val="24"/>
          <w:szCs w:val="24"/>
        </w:rPr>
        <w:t>voxsiz</w:t>
      </w:r>
      <w:proofErr w:type="spellEnd"/>
      <w:r>
        <w:rPr>
          <w:b/>
          <w:bCs/>
          <w:color w:val="1F3864"/>
          <w:sz w:val="24"/>
          <w:szCs w:val="24"/>
        </w:rPr>
        <w:t xml:space="preserve"> é inválido</w:t>
      </w:r>
    </w:p>
    <w:p w14:paraId="001B28D2" w14:textId="77777777" w:rsidR="00E05E1E" w:rsidRDefault="00000000">
      <w:r>
        <w:t xml:space="preserve">O artigo declara resolução de 0,7 × 0,7 mm no plano. O campo </w:t>
      </w:r>
      <w:proofErr w:type="spellStart"/>
      <w:r>
        <w:t>voxsiz</w:t>
      </w:r>
      <w:proofErr w:type="spellEnd"/>
      <w:r>
        <w:t xml:space="preserve"> do arquivo contém [0,7363; 0,7363; 0,7] para os 101 cálculos, sem variação. Entretanto, o campo </w:t>
      </w:r>
      <w:proofErr w:type="spellStart"/>
      <w:r>
        <w:t>voxvol_mL</w:t>
      </w:r>
      <w:proofErr w:type="spellEnd"/>
      <w:r>
        <w:t xml:space="preserve"> assume QUATRO valores distintos:</w:t>
      </w:r>
    </w:p>
    <w:p w14:paraId="2CF9BA36" w14:textId="77777777" w:rsidR="00E05E1E" w:rsidRDefault="00E05E1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2000"/>
        <w:gridCol w:w="1900"/>
        <w:gridCol w:w="2026"/>
      </w:tblGrid>
      <w:tr w:rsidR="00E05E1E" w14:paraId="353FBE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696CC2" w14:textId="77777777" w:rsidR="00E05E1E" w:rsidRDefault="00000000">
            <w:pPr>
              <w:spacing w:after="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voxvol_mL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7E06BF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5B709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Pixel no plano (mm)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BB29A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FOV implícito</w:t>
            </w:r>
          </w:p>
        </w:tc>
        <w:tc>
          <w:tcPr>
            <w:tcW w:w="20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5FB216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 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voxsiz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fosse usado</w:t>
            </w:r>
          </w:p>
        </w:tc>
      </w:tr>
      <w:tr w:rsidR="00E05E1E" w14:paraId="62C640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7A0E0D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0,000344149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A057B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3103B9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0,7012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6880FD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≈ 359 mm</w:t>
            </w:r>
          </w:p>
        </w:tc>
        <w:tc>
          <w:tcPr>
            <w:tcW w:w="2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2926E7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+10,3%</w:t>
            </w:r>
          </w:p>
        </w:tc>
      </w:tr>
      <w:tr w:rsidR="00E05E1E" w14:paraId="2BA7EC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9A3EB7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0,000379525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64F049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2F962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0,7363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060EC6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≈ 377 mm</w:t>
            </w:r>
          </w:p>
        </w:tc>
        <w:tc>
          <w:tcPr>
            <w:tcW w:w="2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71AA88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0%</w:t>
            </w:r>
          </w:p>
        </w:tc>
      </w:tr>
      <w:tr w:rsidR="00E05E1E" w14:paraId="6CE3D1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32C802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0,000395803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2FE665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A67939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0,7520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8552F4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≈ 385 mm</w:t>
            </w:r>
          </w:p>
        </w:tc>
        <w:tc>
          <w:tcPr>
            <w:tcW w:w="2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C2CEA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−4,1%</w:t>
            </w:r>
          </w:p>
        </w:tc>
      </w:tr>
      <w:tr w:rsidR="00E05E1E" w14:paraId="567F87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E5C97D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0,000404071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6FB586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93ABEC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0,7598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375931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≈ 389 mm</w:t>
            </w:r>
          </w:p>
        </w:tc>
        <w:tc>
          <w:tcPr>
            <w:tcW w:w="2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65B28D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−6,1%</w:t>
            </w:r>
          </w:p>
        </w:tc>
      </w:tr>
    </w:tbl>
    <w:p w14:paraId="757F9B70" w14:textId="77777777" w:rsidR="00E05E1E" w:rsidRDefault="00E05E1E">
      <w:pPr>
        <w:spacing w:after="80"/>
      </w:pPr>
    </w:p>
    <w:p w14:paraId="3B7AFD84" w14:textId="77777777" w:rsidR="00E05E1E" w:rsidRDefault="00000000">
      <w:r>
        <w:t xml:space="preserve">Interpretação: os cálculos foram reconstruídos com quatro </w:t>
      </w:r>
      <w:proofErr w:type="spellStart"/>
      <w:r>
        <w:t>FOVs</w:t>
      </w:r>
      <w:proofErr w:type="spellEnd"/>
      <w:r>
        <w:t xml:space="preserve"> distintos. O campo </w:t>
      </w:r>
      <w:proofErr w:type="spellStart"/>
      <w:r>
        <w:t>voxsiz</w:t>
      </w:r>
      <w:proofErr w:type="spellEnd"/>
      <w:r>
        <w:t xml:space="preserve"> replica indevidamente o valor do grupo majoritário sobre todos. </w:t>
      </w:r>
      <w:proofErr w:type="spellStart"/>
      <w:r>
        <w:rPr>
          <w:b/>
          <w:bCs/>
        </w:rPr>
        <w:t>voxvol_mL</w:t>
      </w:r>
      <w:proofErr w:type="spellEnd"/>
      <w:r>
        <w:rPr>
          <w:b/>
          <w:bCs/>
        </w:rPr>
        <w:t xml:space="preserve"> é o campo autoritativo e DEVE ser usado por cálculo.</w:t>
      </w:r>
      <w:r>
        <w:t xml:space="preserve"> O uso de </w:t>
      </w:r>
      <w:proofErr w:type="spellStart"/>
      <w:r>
        <w:t>voxsiz</w:t>
      </w:r>
      <w:proofErr w:type="spellEnd"/>
      <w:r>
        <w:t xml:space="preserve"> introduziria erro de −6,1% a +10,3% em 21 dos 101 cálculos. O uso da geometria declarada no artigo (0,7 isotrópico) introduziria erro de −9,6% em todos os 101.</w:t>
      </w:r>
    </w:p>
    <w:p w14:paraId="785C8518" w14:textId="77777777" w:rsidR="00E05E1E" w:rsidRDefault="00E05E1E">
      <w:pPr>
        <w:spacing w:after="80"/>
      </w:pPr>
    </w:p>
    <w:p w14:paraId="106AE940" w14:textId="77777777" w:rsidR="00E05E1E" w:rsidRDefault="00000000">
      <w:r>
        <w:t>O espaçamento no plano, necessário ao cálculo do diâmetro máximo, deve ser derivado como raiz quadrada de (</w:t>
      </w:r>
      <w:proofErr w:type="spellStart"/>
      <w:r>
        <w:t>voxvol_mL</w:t>
      </w:r>
      <w:proofErr w:type="spellEnd"/>
      <w:r>
        <w:t xml:space="preserve"> × 1000 / 0,7), por cálculo. Os 21 cálculos de FOV minoritário distribuem-se proporcionalmente pelos estratos (2/2/1, 4/3/1 e 1/4/3 nos estratos 5–10, 10–20 e &gt;20 mm), sem concentração que justifique análise de sensibilidade separada.</w:t>
      </w:r>
    </w:p>
    <w:p w14:paraId="7082F5B8" w14:textId="77777777" w:rsidR="00E05E1E" w:rsidRDefault="00000000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4.3. ACHADO 2 — Os dados foram mascarados abaixo de ~101 UH</w:t>
      </w:r>
    </w:p>
    <w:p w14:paraId="6B1979E5" w14:textId="77777777" w:rsidR="00E05E1E" w:rsidRDefault="00000000">
      <w:r>
        <w:t xml:space="preserve">Nenhum </w:t>
      </w:r>
      <w:proofErr w:type="spellStart"/>
      <w:r>
        <w:t>voxel</w:t>
      </w:r>
      <w:proofErr w:type="spellEnd"/>
      <w:r>
        <w:t xml:space="preserve"> do conjunto apresenta valor negativo, e o menor valor não-nulo observado é 101 UH. Tomografia real de água apresentaria ruído negativo. Conclui-se que o fundo foi zerado, com corte em aproximadamente 100 UH, antes da publicação. A fração de </w:t>
      </w:r>
      <w:proofErr w:type="spellStart"/>
      <w:r>
        <w:t>voxels</w:t>
      </w:r>
      <w:proofErr w:type="spellEnd"/>
      <w:r>
        <w:t xml:space="preserve"> exatamente nulos tem mediana de 99,83%.</w:t>
      </w:r>
    </w:p>
    <w:p w14:paraId="4B662F51" w14:textId="77777777" w:rsidR="00E05E1E" w:rsidRDefault="00E05E1E">
      <w:pPr>
        <w:spacing w:after="80"/>
      </w:pPr>
    </w:p>
    <w:p w14:paraId="2A320A46" w14:textId="77777777" w:rsidR="00E05E1E" w:rsidRDefault="00000000">
      <w:r>
        <w:rPr>
          <w:b/>
          <w:bCs/>
        </w:rPr>
        <w:t xml:space="preserve">Consequência para os braços 5 e 6. </w:t>
      </w:r>
      <w:r>
        <w:t xml:space="preserve">O método adaptativo de Neubauer requer segmentação grosseira com limiar de 20 UH, da qual se deriva a mediana do cálculo. Os </w:t>
      </w:r>
      <w:proofErr w:type="spellStart"/>
      <w:r>
        <w:t>voxels</w:t>
      </w:r>
      <w:proofErr w:type="spellEnd"/>
      <w:r>
        <w:t xml:space="preserve"> entre 20 e 100 UH NÃO EXISTEM no dado publicado. O método do próprio autor é, portanto, irreproduzível sobre o dado que ele publicou. Os braços 5 e 6 são executados como APROXIMAÇÕES DECLARADAS, com a segmentação grosseira feita a partir do menor valor disponível, e seus resultados NÃO são diretamente comparáveis aos números publicados por Neubauer. Espera-se que a mediana derivada seja superestimada e, por consequência, o limiar adaptativo e o volume resultante sejam enviesados. A magnitude desse desvio é desconhecida e não é quantificável a partir deste conjunto.</w:t>
      </w:r>
    </w:p>
    <w:p w14:paraId="5CC0DCB8" w14:textId="77777777" w:rsidR="00E05E1E" w:rsidRDefault="00E05E1E">
      <w:pPr>
        <w:spacing w:after="80"/>
      </w:pPr>
    </w:p>
    <w:p w14:paraId="6DE06F02" w14:textId="77777777" w:rsidR="00E05E1E" w:rsidRDefault="00000000">
      <w:r>
        <w:rPr>
          <w:b/>
          <w:bCs/>
        </w:rPr>
        <w:t>O braço 1 (200 UH) e o braço 2 (130 UH) NÃO são afetados</w:t>
      </w:r>
      <w:r>
        <w:t xml:space="preserve">, pois ambos os limiares </w:t>
      </w:r>
      <w:proofErr w:type="gramStart"/>
      <w:r>
        <w:t>situam-se</w:t>
      </w:r>
      <w:proofErr w:type="gramEnd"/>
      <w:r>
        <w:t xml:space="preserve"> acima do corte de mascaramento.</w:t>
      </w:r>
    </w:p>
    <w:p w14:paraId="560F9CB5" w14:textId="77777777" w:rsidR="00E05E1E" w:rsidRDefault="00000000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4.4. ACHADO 3 — Ausência de origem e de medições por avaliador</w:t>
      </w:r>
    </w:p>
    <w:p w14:paraId="2FFBA4B2" w14:textId="77777777" w:rsidR="00E05E1E" w:rsidRDefault="00000000">
      <w:r>
        <w:t xml:space="preserve">Não há campo de origem (humano/animal) no </w:t>
      </w:r>
      <w:proofErr w:type="gramStart"/>
      <w:r>
        <w:t>arquivo .</w:t>
      </w:r>
      <w:proofErr w:type="spellStart"/>
      <w:r>
        <w:t>mat</w:t>
      </w:r>
      <w:proofErr w:type="spellEnd"/>
      <w:proofErr w:type="gramEnd"/>
      <w:r>
        <w:t xml:space="preserve"> nem no .</w:t>
      </w:r>
      <w:proofErr w:type="spellStart"/>
      <w:r>
        <w:t>csv</w:t>
      </w:r>
      <w:proofErr w:type="spellEnd"/>
      <w:r>
        <w:t>. Não há medições individuais dos três urologistas; apenas as médias consolidadas (</w:t>
      </w:r>
      <w:proofErr w:type="spellStart"/>
      <w:r>
        <w:t>gt_vol</w:t>
      </w:r>
      <w:proofErr w:type="spellEnd"/>
      <w:r>
        <w:t xml:space="preserve">, </w:t>
      </w:r>
      <w:proofErr w:type="spellStart"/>
      <w:r>
        <w:t>gt_diam</w:t>
      </w:r>
      <w:proofErr w:type="spellEnd"/>
      <w:r>
        <w:t>).</w:t>
      </w:r>
    </w:p>
    <w:p w14:paraId="63EA0B71" w14:textId="77777777" w:rsidR="00E05E1E" w:rsidRDefault="00000000">
      <w:r>
        <w:t>A composição (</w:t>
      </w:r>
      <w:proofErr w:type="spellStart"/>
      <w:r>
        <w:t>StoneType</w:t>
      </w:r>
      <w:proofErr w:type="spellEnd"/>
      <w:r>
        <w:t>) está ausente em 42 dos 101 cálculos e, quando presente, é epidemiologicamente incompatível com população humana: 24 cálculos de cistina (24% da amostra, contra ~1% esperado em humanos), concentrados na faixa de menor diâmetro. Não é possível reconstruir a origem a partir da composição com honestidade metodológica, e tal inferência é EXPRESSAMENTE VEDADA por este protocolo.</w:t>
      </w:r>
    </w:p>
    <w:p w14:paraId="24C5D288" w14:textId="77777777" w:rsidR="00E05E1E" w:rsidRDefault="00E05E1E">
      <w:pPr>
        <w:spacing w:after="80"/>
      </w:pPr>
    </w:p>
    <w:p w14:paraId="542A7523" w14:textId="77777777" w:rsidR="00E05E1E" w:rsidRDefault="00000000">
      <w:r>
        <w:rPr>
          <w:b/>
          <w:bCs/>
        </w:rPr>
        <w:t xml:space="preserve">Limitação declarada: </w:t>
      </w:r>
      <w:r>
        <w:t>a proporção de cálculos de origem animal no estrato primário (≥ 10 mm) NÃO PÔDE SER DETERMINADA a partir dos dados publicados. Cálculos animais possuem composição e morfologia distintas dos humanos. Esta limitação deve constar do relatório final e de qualquer citação deste estudo.</w:t>
      </w:r>
    </w:p>
    <w:p w14:paraId="7BDC8F5C" w14:textId="77777777" w:rsidR="00E05E1E" w:rsidRDefault="00E05E1E">
      <w:pPr>
        <w:spacing w:after="80"/>
      </w:pPr>
    </w:p>
    <w:p w14:paraId="5774BFD8" w14:textId="77777777" w:rsidR="00E05E1E" w:rsidRDefault="00000000">
      <w:r>
        <w:t>Registram-se ainda dois erros de curadoria na tabela de referência: a grafia "</w:t>
      </w:r>
      <w:proofErr w:type="spellStart"/>
      <w:r>
        <w:t>cacliumoxalate-monohydrate</w:t>
      </w:r>
      <w:proofErr w:type="spellEnd"/>
      <w:r>
        <w:t>" (erro tipográfico) e a inconsistência de caixa entre "</w:t>
      </w:r>
      <w:proofErr w:type="spellStart"/>
      <w:r>
        <w:t>cystine</w:t>
      </w:r>
      <w:proofErr w:type="spellEnd"/>
      <w:r>
        <w:t>" e "</w:t>
      </w:r>
      <w:proofErr w:type="spellStart"/>
      <w:r>
        <w:t>Cystine</w:t>
      </w:r>
      <w:proofErr w:type="spellEnd"/>
      <w:r>
        <w:t>". Ambos são normalizados na análise; sua existência indica que a tabela de referência não foi objeto de revisão rigorosa.</w:t>
      </w:r>
    </w:p>
    <w:p w14:paraId="34F0B263" w14:textId="77777777" w:rsidR="00E05E1E" w:rsidRDefault="00000000">
      <w:pPr>
        <w:pStyle w:val="Ttulo1"/>
        <w:spacing w:before="280" w:after="140"/>
      </w:pPr>
      <w:r>
        <w:rPr>
          <w:b/>
          <w:bCs/>
          <w:color w:val="1F3864"/>
          <w:sz w:val="28"/>
          <w:szCs w:val="28"/>
        </w:rPr>
        <w:t xml:space="preserve">5. Divisão </w:t>
      </w:r>
      <w:proofErr w:type="spellStart"/>
      <w:r>
        <w:rPr>
          <w:b/>
          <w:bCs/>
          <w:color w:val="1F3864"/>
          <w:sz w:val="28"/>
          <w:szCs w:val="28"/>
        </w:rPr>
        <w:t>pré</w:t>
      </w:r>
      <w:proofErr w:type="spellEnd"/>
      <w:r>
        <w:rPr>
          <w:b/>
          <w:bCs/>
          <w:color w:val="1F3864"/>
          <w:sz w:val="28"/>
          <w:szCs w:val="28"/>
        </w:rPr>
        <w:t>-registrada: desenvolvimento e conjunto lacrado</w:t>
      </w:r>
    </w:p>
    <w:p w14:paraId="10F84F8B" w14:textId="77777777" w:rsidR="00E05E1E" w:rsidRDefault="00000000">
      <w:r>
        <w:t xml:space="preserve">O conjunto de dados é a única fonte pública de </w:t>
      </w:r>
      <w:proofErr w:type="spellStart"/>
      <w:r>
        <w:t>urólitos</w:t>
      </w:r>
      <w:proofErr w:type="spellEnd"/>
      <w:r>
        <w:t xml:space="preserve"> com padrão físico de referência. Seu uso para desenvolvimento e para validação é mutuamente exclusivo. Para permitir ambos, executa-se divisão </w:t>
      </w:r>
      <w:proofErr w:type="spellStart"/>
      <w:r>
        <w:t>pré</w:t>
      </w:r>
      <w:proofErr w:type="spellEnd"/>
      <w:r>
        <w:t>-registrada ANTES de qualquer computação de desfecho.</w:t>
      </w:r>
    </w:p>
    <w:p w14:paraId="2110373A" w14:textId="77777777" w:rsidR="00E05E1E" w:rsidRDefault="00E05E1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1200"/>
        <w:gridCol w:w="3026"/>
      </w:tblGrid>
      <w:tr w:rsidR="00E05E1E" w14:paraId="1BA292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37A99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Conjunto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2300D9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5–10 mm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E44053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10–20 mm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849289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&gt; 20 mm</w:t>
            </w:r>
          </w:p>
        </w:tc>
        <w:tc>
          <w:tcPr>
            <w:tcW w:w="30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F65835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/ Uso</w:t>
            </w:r>
          </w:p>
        </w:tc>
      </w:tr>
      <w:tr w:rsidR="00E05E1E" w14:paraId="788032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E814AD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DESENVOLVIMENTO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E1121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4087D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1673A9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5FE27B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25 — </w:t>
            </w:r>
            <w:proofErr w:type="gramStart"/>
            <w:r>
              <w:rPr>
                <w:color w:val="000000"/>
                <w:sz w:val="20"/>
                <w:szCs w:val="20"/>
              </w:rPr>
              <w:t>irrestrito</w:t>
            </w:r>
            <w:proofErr w:type="gramEnd"/>
            <w:r>
              <w:rPr>
                <w:color w:val="000000"/>
                <w:sz w:val="20"/>
                <w:szCs w:val="20"/>
              </w:rPr>
              <w:t>; iteração, ajuste e inspeção permitidos</w:t>
            </w:r>
          </w:p>
        </w:tc>
      </w:tr>
      <w:tr w:rsidR="00E05E1E" w14:paraId="21AAA3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0F93E5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LACRADO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9A0B8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87753B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A92FBA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3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98BD7F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76 — </w:t>
            </w:r>
            <w:proofErr w:type="gramStart"/>
            <w:r>
              <w:rPr>
                <w:color w:val="000000"/>
                <w:sz w:val="20"/>
                <w:szCs w:val="20"/>
              </w:rPr>
              <w:t>não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acessado até o congelamento</w:t>
            </w:r>
          </w:p>
        </w:tc>
      </w:tr>
      <w:tr w:rsidR="00E05E1E" w14:paraId="6D4430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14026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16C92D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306EE2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1A9C09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3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0C721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101</w:t>
            </w:r>
          </w:p>
        </w:tc>
      </w:tr>
    </w:tbl>
    <w:p w14:paraId="6BFB08FE" w14:textId="77777777" w:rsidR="00E05E1E" w:rsidRDefault="00E05E1E">
      <w:pPr>
        <w:spacing w:after="80"/>
      </w:pPr>
    </w:p>
    <w:p w14:paraId="1894F615" w14:textId="77777777" w:rsidR="00E05E1E" w:rsidRDefault="00000000">
      <w:r>
        <w:t xml:space="preserve">A divisão é estratificada por faixa de diâmetro de referência, com semente aleatória fixa e registrada. Usa exclusivamente características basais da referência (diâmetro), jamais qualquer saída do </w:t>
      </w:r>
      <w:proofErr w:type="spellStart"/>
      <w:r>
        <w:t>LithosRad</w:t>
      </w:r>
      <w:proofErr w:type="spellEnd"/>
      <w:r>
        <w:t xml:space="preserve">. Os identificadores de cada conjunto são </w:t>
      </w:r>
      <w:proofErr w:type="spellStart"/>
      <w:r>
        <w:t>commitados</w:t>
      </w:r>
      <w:proofErr w:type="spellEnd"/>
      <w:r>
        <w:t xml:space="preserve"> no repositório antes do primeiro acesso.</w:t>
      </w:r>
    </w:p>
    <w:p w14:paraId="25B13635" w14:textId="77777777" w:rsidR="00E05E1E" w:rsidRDefault="00000000">
      <w:r>
        <w:lastRenderedPageBreak/>
        <w:t xml:space="preserve">O estrato primário (≥ 10 mm) conta com 43 cálculos no conjunto lacrado, o que preserva poder estatístico adequado para a análise de </w:t>
      </w:r>
      <w:proofErr w:type="spellStart"/>
      <w:r>
        <w:t>Bland</w:t>
      </w:r>
      <w:proofErr w:type="spellEnd"/>
      <w:r>
        <w:t>-Altman.</w:t>
      </w:r>
    </w:p>
    <w:p w14:paraId="1A795A09" w14:textId="77777777" w:rsidR="00E05E1E" w:rsidRDefault="00E05E1E">
      <w:pPr>
        <w:spacing w:after="80"/>
      </w:pPr>
    </w:p>
    <w:p w14:paraId="3C7FC963" w14:textId="77777777" w:rsidR="00E05E1E" w:rsidRDefault="00000000">
      <w:r>
        <w:rPr>
          <w:b/>
          <w:bCs/>
        </w:rPr>
        <w:t xml:space="preserve">Regra de acesso. </w:t>
      </w:r>
      <w:r>
        <w:t xml:space="preserve">Os arquivos do conjunto lacrado são movidos para diretório separado e não são abertos até que o </w:t>
      </w:r>
      <w:proofErr w:type="spellStart"/>
      <w:r>
        <w:t>LithosRad</w:t>
      </w:r>
      <w:proofErr w:type="spellEnd"/>
      <w:r>
        <w:t xml:space="preserve"> esteja congelado (Seção 3.2). Toda iteração de desenvolvimento ocorre exclusivamente sobre os 25 cálculos de desenvolvimento e sobre </w:t>
      </w:r>
      <w:proofErr w:type="spellStart"/>
      <w:r>
        <w:t>fantomas</w:t>
      </w:r>
      <w:proofErr w:type="spellEnd"/>
      <w:r>
        <w:t xml:space="preserve"> sintéticos. O acesso ao conjunto lacrado é único e definitivo.</w:t>
      </w:r>
    </w:p>
    <w:p w14:paraId="0D5DA4B3" w14:textId="77777777" w:rsidR="00E05E1E" w:rsidRDefault="00000000">
      <w:pPr>
        <w:pStyle w:val="Ttulo1"/>
        <w:spacing w:before="280" w:after="140"/>
      </w:pPr>
      <w:r>
        <w:rPr>
          <w:b/>
          <w:bCs/>
          <w:color w:val="1F3864"/>
          <w:sz w:val="28"/>
          <w:szCs w:val="28"/>
        </w:rPr>
        <w:t>6. Padrão de referência e sua incerteza</w:t>
      </w:r>
    </w:p>
    <w:p w14:paraId="5C841050" w14:textId="77777777" w:rsidR="00E05E1E" w:rsidRDefault="00000000">
      <w:r>
        <w:t xml:space="preserve">A referência de volume é </w:t>
      </w:r>
      <w:proofErr w:type="spellStart"/>
      <w:r>
        <w:t>gt_vol</w:t>
      </w:r>
      <w:proofErr w:type="spellEnd"/>
      <w:r>
        <w:t xml:space="preserve"> (deslocamento de água, em </w:t>
      </w:r>
      <w:proofErr w:type="spellStart"/>
      <w:r>
        <w:t>mL</w:t>
      </w:r>
      <w:proofErr w:type="spellEnd"/>
      <w:r>
        <w:t xml:space="preserve">), média das medições de três urologistas. A referência de diâmetro é </w:t>
      </w:r>
      <w:proofErr w:type="spellStart"/>
      <w:r>
        <w:t>gt_diam</w:t>
      </w:r>
      <w:proofErr w:type="spellEnd"/>
      <w:r>
        <w:t xml:space="preserve"> (paquímetro, em mm).</w:t>
      </w:r>
    </w:p>
    <w:p w14:paraId="5172AA1F" w14:textId="77777777" w:rsidR="00E05E1E" w:rsidRDefault="00000000">
      <w:r>
        <w:t xml:space="preserve">As medições individuais dos avaliadores NÃO estão disponíveis, o que impede o cálculo do desvio </w:t>
      </w:r>
      <w:proofErr w:type="spellStart"/>
      <w:r>
        <w:t>interobservador</w:t>
      </w:r>
      <w:proofErr w:type="spellEnd"/>
      <w:r>
        <w:t xml:space="preserve">. Em substituição, estabelece-se um PISO DE QUANTIZAÇÃO, derivado da estrutura do dado: a diferença mínima não-nula entre </w:t>
      </w:r>
      <w:proofErr w:type="spellStart"/>
      <w:r>
        <w:t>gt_vol</w:t>
      </w:r>
      <w:proofErr w:type="spellEnd"/>
      <w:r>
        <w:t xml:space="preserve"> e o valor arredondado do CSV é 0,003333 </w:t>
      </w:r>
      <w:proofErr w:type="spellStart"/>
      <w:r>
        <w:t>mL</w:t>
      </w:r>
      <w:proofErr w:type="spellEnd"/>
      <w:r>
        <w:t xml:space="preserve">, ou seja, 0,01/3. Conclui-se que cada avaliador leu a proveta com resolução de 0,01 </w:t>
      </w:r>
      <w:proofErr w:type="spellStart"/>
      <w:r>
        <w:t>mL</w:t>
      </w:r>
      <w:proofErr w:type="spellEnd"/>
      <w:r>
        <w:t xml:space="preserve"> e que </w:t>
      </w:r>
      <w:proofErr w:type="spellStart"/>
      <w:r>
        <w:t>gt_vol</w:t>
      </w:r>
      <w:proofErr w:type="spellEnd"/>
      <w:r>
        <w:t xml:space="preserve"> é a média de três leituras, </w:t>
      </w:r>
      <w:proofErr w:type="gramStart"/>
      <w:r>
        <w:t>assumindo portanto</w:t>
      </w:r>
      <w:proofErr w:type="gramEnd"/>
      <w:r>
        <w:t xml:space="preserve"> apenas múltiplos de 0,003333 </w:t>
      </w:r>
      <w:proofErr w:type="spellStart"/>
      <w:r>
        <w:t>mL</w:t>
      </w:r>
      <w:proofErr w:type="spellEnd"/>
      <w:r>
        <w:t>.</w:t>
      </w:r>
    </w:p>
    <w:p w14:paraId="36F55808" w14:textId="77777777" w:rsidR="00E05E1E" w:rsidRDefault="00E05E1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E05E1E" w14:paraId="384439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3EEC8A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 de referência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056ED4" w14:textId="77777777" w:rsidR="00E05E1E" w:rsidRDefault="00000000">
            <w:pPr>
              <w:spacing w:after="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Semi-quantum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(±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2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9AF3A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Incerteza relativa mínima</w:t>
            </w:r>
          </w:p>
        </w:tc>
      </w:tr>
      <w:tr w:rsidR="00E05E1E" w14:paraId="23526E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699535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0,01 </w:t>
            </w:r>
            <w:proofErr w:type="spellStart"/>
            <w:r>
              <w:rPr>
                <w:color w:val="000000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8DED24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± 0,00167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F6495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± 16,7%</w:t>
            </w:r>
          </w:p>
        </w:tc>
      </w:tr>
      <w:tr w:rsidR="00E05E1E" w14:paraId="4E1D18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9FAE9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0,09 </w:t>
            </w:r>
            <w:proofErr w:type="spellStart"/>
            <w:r>
              <w:rPr>
                <w:color w:val="000000"/>
                <w:sz w:val="20"/>
                <w:szCs w:val="20"/>
              </w:rPr>
              <w:t>mL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(menor do estrato ≥10 mm)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FB7D76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± 0,00167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8CFEA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± 1,9%</w:t>
            </w:r>
          </w:p>
        </w:tc>
      </w:tr>
      <w:tr w:rsidR="00E05E1E" w14:paraId="5A02C6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B684C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0,20 </w:t>
            </w:r>
            <w:proofErr w:type="spellStart"/>
            <w:r>
              <w:rPr>
                <w:color w:val="000000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D10B0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± 0,00167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60B0E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± 0,8%</w:t>
            </w:r>
          </w:p>
        </w:tc>
      </w:tr>
      <w:tr w:rsidR="00E05E1E" w14:paraId="3662E0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902D43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2,00 </w:t>
            </w:r>
            <w:proofErr w:type="spellStart"/>
            <w:r>
              <w:rPr>
                <w:color w:val="000000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254366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± 0,00167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9774A5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± 0,08%</w:t>
            </w:r>
          </w:p>
        </w:tc>
      </w:tr>
    </w:tbl>
    <w:p w14:paraId="0A5B5E55" w14:textId="77777777" w:rsidR="00E05E1E" w:rsidRDefault="00E05E1E">
      <w:pPr>
        <w:spacing w:after="80"/>
      </w:pPr>
    </w:p>
    <w:p w14:paraId="6E3E96E0" w14:textId="77777777" w:rsidR="00E05E1E" w:rsidRDefault="00000000">
      <w:r>
        <w:rPr>
          <w:b/>
          <w:bCs/>
        </w:rPr>
        <w:t xml:space="preserve">Este é um LIMITE INFERIOR da incerteza da referência, não sua estimativa. </w:t>
      </w:r>
      <w:r>
        <w:t xml:space="preserve">A discordância real entre avaliadores é certamente maior que a quantização e permanece desconhecida. Os critérios de aceitação (Seção 10) são fixados com folga confortável acima deste piso, de modo que testem o método sob avaliação e não a resolução do padrão de referência. No estrato de 5–10 mm, cujos volumes de referência descem a 0,01 </w:t>
      </w:r>
      <w:proofErr w:type="spellStart"/>
      <w:r>
        <w:t>mL</w:t>
      </w:r>
      <w:proofErr w:type="spellEnd"/>
      <w:r>
        <w:t>, a quantização atinge ±16,7% e a referência é grosseira demais para sustentar conclusões de acurácia — razão adicional pela qual o desfecho primário restringe-se a ≥ 10 mm.</w:t>
      </w:r>
    </w:p>
    <w:p w14:paraId="722F11D3" w14:textId="77777777" w:rsidR="00E05E1E" w:rsidRDefault="00000000">
      <w:pPr>
        <w:pStyle w:val="Ttulo1"/>
        <w:spacing w:before="280" w:after="140"/>
      </w:pPr>
      <w:r>
        <w:rPr>
          <w:b/>
          <w:bCs/>
          <w:color w:val="1F3864"/>
          <w:sz w:val="28"/>
          <w:szCs w:val="28"/>
        </w:rPr>
        <w:t>7. Braços experimentais</w:t>
      </w:r>
    </w:p>
    <w:p w14:paraId="12CBAEA3" w14:textId="77777777" w:rsidR="00E05E1E" w:rsidRDefault="00000000">
      <w:r>
        <w:t xml:space="preserve">Todos os braços partilham o mesmo leitor de dados e o mesmo cálculo de volume de </w:t>
      </w:r>
      <w:proofErr w:type="spellStart"/>
      <w:r>
        <w:t>voxel</w:t>
      </w:r>
      <w:proofErr w:type="spellEnd"/>
      <w:r>
        <w:t xml:space="preserve"> (</w:t>
      </w:r>
      <w:proofErr w:type="spellStart"/>
      <w:r>
        <w:t>voxvol_mL</w:t>
      </w:r>
      <w:proofErr w:type="spellEnd"/>
      <w:r>
        <w:t xml:space="preserve"> por cálculo). A única variável entre braços é a regra de segmentação. Todos são executados na mesma execução.</w:t>
      </w:r>
    </w:p>
    <w:p w14:paraId="2AF754BE" w14:textId="77777777" w:rsidR="00E05E1E" w:rsidRDefault="00E05E1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5226"/>
      </w:tblGrid>
      <w:tr w:rsidR="00E05E1E" w14:paraId="52704C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7AD955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F089B1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Braço</w:t>
            </w:r>
          </w:p>
        </w:tc>
        <w:tc>
          <w:tcPr>
            <w:tcW w:w="52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DF0FDC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 e papel</w:t>
            </w:r>
          </w:p>
        </w:tc>
      </w:tr>
      <w:tr w:rsidR="00E05E1E" w14:paraId="063D8D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32D131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901BB7" w14:textId="77777777" w:rsidR="00E05E1E" w:rsidRDefault="00000000">
            <w:pPr>
              <w:spacing w:after="0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LithosRad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@ 200 UH</w:t>
            </w:r>
          </w:p>
        </w:tc>
        <w:tc>
          <w:tcPr>
            <w:tcW w:w="52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84304B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PONTO DE OPERAÇÃO DECLARADO. Desfecho primário.</w:t>
            </w:r>
          </w:p>
        </w:tc>
      </w:tr>
      <w:tr w:rsidR="00E05E1E" w14:paraId="5976EE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C9CC5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96E918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Limiar fixo 130 UH</w:t>
            </w:r>
          </w:p>
        </w:tc>
        <w:tc>
          <w:tcPr>
            <w:tcW w:w="52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78E1B1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Padrão de fato do campo; herdado do escore de Agatston. Comparador principal.</w:t>
            </w:r>
          </w:p>
        </w:tc>
      </w:tr>
      <w:tr w:rsidR="00E05E1E" w14:paraId="32BC5F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AC7693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DAF47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Limiar fixo 272 UH</w:t>
            </w:r>
          </w:p>
        </w:tc>
        <w:tc>
          <w:tcPr>
            <w:tcW w:w="52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4A3ABE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Ótimo absoluto publicado por Neubauer [1].</w:t>
            </w:r>
          </w:p>
        </w:tc>
      </w:tr>
      <w:tr w:rsidR="00E05E1E" w14:paraId="6562EB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88C7D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F29A9C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194 UH + correção VP (0,29)</w:t>
            </w:r>
          </w:p>
        </w:tc>
        <w:tc>
          <w:tcPr>
            <w:tcW w:w="52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222E9C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Ótimo publicado por Neubauer [1]. Limiar quase idêntico ao braço 1: isola o efeito da correção de volume parcial.</w:t>
            </w:r>
          </w:p>
        </w:tc>
      </w:tr>
      <w:tr w:rsidR="00E05E1E" w14:paraId="1FE8AF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6CBAC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037D5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Adaptativo 0,48 × mediana</w:t>
            </w:r>
          </w:p>
        </w:tc>
        <w:tc>
          <w:tcPr>
            <w:tcW w:w="52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9AE8FB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APROXIMAÇÃO — ver Seção 4.3. Não comparável aos valores publicados.</w:t>
            </w:r>
          </w:p>
        </w:tc>
      </w:tr>
      <w:tr w:rsidR="00E05E1E" w14:paraId="7DC80D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AAB53C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794E3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Adaptativo 0,43 × mediana + VP (0,11)</w:t>
            </w:r>
          </w:p>
        </w:tc>
        <w:tc>
          <w:tcPr>
            <w:tcW w:w="52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17BD5A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APROXIMAÇÃO — ver Seção 4.3. Não comparável aos valores publicados.</w:t>
            </w:r>
          </w:p>
        </w:tc>
      </w:tr>
      <w:tr w:rsidR="00E05E1E" w14:paraId="76368C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B3E4A4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577079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Elipsoide escalena</w:t>
            </w:r>
          </w:p>
        </w:tc>
        <w:tc>
          <w:tcPr>
            <w:tcW w:w="52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82A666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π/6 × d1 × d2 × d3 sobre os diâmetros do </w:t>
            </w:r>
            <w:proofErr w:type="spellStart"/>
            <w:r>
              <w:rPr>
                <w:color w:val="000000"/>
                <w:sz w:val="20"/>
                <w:szCs w:val="20"/>
              </w:rPr>
              <w:t>LithosRad</w:t>
            </w:r>
            <w:proofErr w:type="spellEnd"/>
            <w:r>
              <w:rPr>
                <w:color w:val="000000"/>
                <w:sz w:val="20"/>
                <w:szCs w:val="20"/>
              </w:rPr>
              <w:t>. Comparador negativo.</w:t>
            </w:r>
          </w:p>
        </w:tc>
      </w:tr>
      <w:tr w:rsidR="00E05E1E" w14:paraId="6C4309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A94412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527CD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Meia-altura adaptativa</w:t>
            </w:r>
          </w:p>
        </w:tc>
        <w:tc>
          <w:tcPr>
            <w:tcW w:w="52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F4C553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Limiar em (</w:t>
            </w:r>
            <w:proofErr w:type="spellStart"/>
            <w:r>
              <w:rPr>
                <w:color w:val="000000"/>
                <w:sz w:val="20"/>
                <w:szCs w:val="20"/>
              </w:rPr>
              <w:t>HU_cálculo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HU_</w:t>
            </w:r>
            <w:proofErr w:type="gramStart"/>
            <w:r>
              <w:rPr>
                <w:color w:val="000000"/>
                <w:sz w:val="20"/>
                <w:szCs w:val="20"/>
              </w:rPr>
              <w:t>fundo</w:t>
            </w:r>
            <w:proofErr w:type="spellEnd"/>
            <w:r>
              <w:rPr>
                <w:color w:val="000000"/>
                <w:sz w:val="20"/>
                <w:szCs w:val="20"/>
              </w:rPr>
              <w:t>)/</w:t>
            </w:r>
            <w:proofErr w:type="gramEnd"/>
            <w:r>
              <w:rPr>
                <w:color w:val="000000"/>
                <w:sz w:val="20"/>
                <w:szCs w:val="20"/>
              </w:rPr>
              <w:t>2. CARACTERIZAÇÃO apenas; não constitui reivindicação e não é reportado pelo produto.</w:t>
            </w:r>
          </w:p>
        </w:tc>
      </w:tr>
    </w:tbl>
    <w:p w14:paraId="62DF830F" w14:textId="77777777" w:rsidR="00E05E1E" w:rsidRDefault="00000000">
      <w:pPr>
        <w:pStyle w:val="Ttulo1"/>
        <w:spacing w:before="280" w:after="140"/>
      </w:pPr>
      <w:r>
        <w:rPr>
          <w:b/>
          <w:bCs/>
          <w:color w:val="1F3864"/>
          <w:sz w:val="28"/>
          <w:szCs w:val="28"/>
        </w:rPr>
        <w:t>8. Desfechos</w:t>
      </w:r>
    </w:p>
    <w:p w14:paraId="33B3D3CE" w14:textId="77777777" w:rsidR="00E05E1E" w:rsidRDefault="00000000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8.1. Primário (confirmatório)</w:t>
      </w:r>
    </w:p>
    <w:p w14:paraId="14D15B42" w14:textId="77777777" w:rsidR="00E05E1E" w:rsidRDefault="00000000">
      <w:r>
        <w:t>Concordância entre o volume do braço 1 (</w:t>
      </w:r>
      <w:proofErr w:type="spellStart"/>
      <w:r>
        <w:t>LithosRad</w:t>
      </w:r>
      <w:proofErr w:type="spellEnd"/>
      <w:r>
        <w:t xml:space="preserve"> @ 200 UH) e </w:t>
      </w:r>
      <w:proofErr w:type="spellStart"/>
      <w:r>
        <w:t>gt_vol</w:t>
      </w:r>
      <w:proofErr w:type="spellEnd"/>
      <w:r>
        <w:t xml:space="preserve">, restrita ao conjunto LACRADO e ao estrato de diâmetro de referência ≥ 10 mm (n = 43), expressa por </w:t>
      </w:r>
      <w:proofErr w:type="spellStart"/>
      <w:r>
        <w:t>Bland</w:t>
      </w:r>
      <w:proofErr w:type="spellEnd"/>
      <w:r>
        <w:t>-Altman em escala percentual: viés proporcional médio e limites de concordância de 95%.</w:t>
      </w:r>
    </w:p>
    <w:p w14:paraId="3EA6A926" w14:textId="77777777" w:rsidR="00E05E1E" w:rsidRDefault="00000000">
      <w:r>
        <w:t>O estrato ≥ 10 mm é primário porque nele situam-se os limiares de decisão terapêutica das diretrizes (10, 15 e 20 mm) e porque abaixo dele a quantização da referência degrada-se (Seção 6).</w:t>
      </w:r>
    </w:p>
    <w:p w14:paraId="1AB3FD29" w14:textId="77777777" w:rsidR="00E05E1E" w:rsidRDefault="00000000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8.2. Secundários (exploratórios)</w:t>
      </w:r>
    </w:p>
    <w:p w14:paraId="0603C605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>Mesmas métricas no estrato 5–10 mm, com a ressalva da quantização.</w:t>
      </w:r>
    </w:p>
    <w:p w14:paraId="59D0632A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>Braços 2 a 8, em cada estrato: viés e limites de concordância.</w:t>
      </w:r>
    </w:p>
    <w:p w14:paraId="2A7928B0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>Comparação dirigida braço 1 vs. braço 4 — isola o efeito da correção de volume parcial a limiar praticamente constante (200 vs. 194 UH).</w:t>
      </w:r>
    </w:p>
    <w:p w14:paraId="051AA708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Concordância do diâmetro máximo com </w:t>
      </w:r>
      <w:proofErr w:type="spellStart"/>
      <w:r>
        <w:t>gt_diam</w:t>
      </w:r>
      <w:proofErr w:type="spellEnd"/>
      <w:r>
        <w:t xml:space="preserve"> (</w:t>
      </w:r>
      <w:proofErr w:type="spellStart"/>
      <w:r>
        <w:t>Bland</w:t>
      </w:r>
      <w:proofErr w:type="spellEnd"/>
      <w:r>
        <w:t>-Altman, escala absoluta em mm).</w:t>
      </w:r>
    </w:p>
    <w:p w14:paraId="6A868F22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>Taxa de falha de segmentação — é desfecho, não apenas critério de exclusão.</w:t>
      </w:r>
    </w:p>
    <w:p w14:paraId="472DF227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Fator de forma observado, </w:t>
      </w:r>
      <w:proofErr w:type="spellStart"/>
      <w:r>
        <w:t>V_ref</w:t>
      </w:r>
      <w:proofErr w:type="spellEnd"/>
      <w:r>
        <w:t xml:space="preserve"> / d³, por estrato — caracteriza o afastamento dos cálculos reais da geometria elipsoidal.</w:t>
      </w:r>
    </w:p>
    <w:p w14:paraId="48AFA419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>CCC de Lin — reportado por comparabilidade com a literatura, e VEDADO como critério de aceitação (Seção 9.3).</w:t>
      </w:r>
    </w:p>
    <w:p w14:paraId="15373C6F" w14:textId="77777777" w:rsidR="00E05E1E" w:rsidRDefault="00000000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8.3. Descritivo (caracterização, não validação)</w:t>
      </w:r>
    </w:p>
    <w:p w14:paraId="031630A4" w14:textId="77777777" w:rsidR="00E05E1E" w:rsidRDefault="00000000">
      <w:r>
        <w:lastRenderedPageBreak/>
        <w:t xml:space="preserve">Curva de sensibilidade ao limiar: erro percentual do volume em função do limiar, de 110 a 600 UH em passos de 10 UH, estratificado por faixa de tamanho e por composição. Limiares abaixo de 110 UH não são varridos, por estarem sob o corte de mascaramento (Seção 4.3). </w:t>
      </w:r>
      <w:r>
        <w:rPr>
          <w:b/>
          <w:bCs/>
        </w:rPr>
        <w:t>Este resultado NÃO pode retroalimentar o ponto de operação neste estudo. Alteração do ponto de operação com base nesta curva exige novo protocolo e novo conjunto de validação independente.</w:t>
      </w:r>
    </w:p>
    <w:p w14:paraId="0554AD8B" w14:textId="77777777" w:rsidR="00E05E1E" w:rsidRDefault="00000000">
      <w:pPr>
        <w:pStyle w:val="Ttulo1"/>
        <w:spacing w:before="280" w:after="140"/>
      </w:pPr>
      <w:r>
        <w:rPr>
          <w:b/>
          <w:bCs/>
          <w:color w:val="1F3864"/>
          <w:sz w:val="28"/>
          <w:szCs w:val="28"/>
        </w:rPr>
        <w:t>9. Métricas</w:t>
      </w:r>
    </w:p>
    <w:p w14:paraId="1C925630" w14:textId="77777777" w:rsidR="00E05E1E" w:rsidRDefault="00000000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9.1. Diferença percentual (primária)</w:t>
      </w:r>
    </w:p>
    <w:p w14:paraId="35012BBF" w14:textId="77777777" w:rsidR="00E05E1E" w:rsidRDefault="00000000">
      <w:r>
        <w:t xml:space="preserve">Para cada cálculo i:   Δ%(i) = 100 × </w:t>
      </w:r>
      <w:proofErr w:type="gramStart"/>
      <w:r>
        <w:t xml:space="preserve">( </w:t>
      </w:r>
      <w:proofErr w:type="spellStart"/>
      <w:r>
        <w:t>V</w:t>
      </w:r>
      <w:proofErr w:type="gramEnd"/>
      <w:r>
        <w:t>_teste</w:t>
      </w:r>
      <w:proofErr w:type="spellEnd"/>
      <w:r>
        <w:t xml:space="preserve">(i) − </w:t>
      </w:r>
      <w:proofErr w:type="spellStart"/>
      <w:r>
        <w:t>gt_vol</w:t>
      </w:r>
      <w:proofErr w:type="spellEnd"/>
      <w:r>
        <w:t>(i</w:t>
      </w:r>
      <w:proofErr w:type="gramStart"/>
      <w:r>
        <w:t>) )</w:t>
      </w:r>
      <w:proofErr w:type="gramEnd"/>
      <w:r>
        <w:t xml:space="preserve"> / </w:t>
      </w:r>
      <w:proofErr w:type="spellStart"/>
      <w:r>
        <w:t>gt_vol</w:t>
      </w:r>
      <w:proofErr w:type="spellEnd"/>
      <w:r>
        <w:t>(i)</w:t>
      </w:r>
    </w:p>
    <w:p w14:paraId="08F81173" w14:textId="77777777" w:rsidR="00E05E1E" w:rsidRDefault="00000000">
      <w:r>
        <w:t>Viés proporcional = média de Δ%.   Limites de concordância de 95% = viés ± 1,96 × desvio-padrão de Δ%.</w:t>
      </w:r>
    </w:p>
    <w:p w14:paraId="2FC21673" w14:textId="77777777" w:rsidR="00E05E1E" w:rsidRDefault="00000000">
      <w:r>
        <w:t xml:space="preserve">A escala percentual é adotada porque o erro dos métodos de limiar é proporcional à razão superfície/volume e, portanto, dependente do tamanho. </w:t>
      </w:r>
      <w:proofErr w:type="spellStart"/>
      <w:r>
        <w:t>Bland</w:t>
      </w:r>
      <w:proofErr w:type="spellEnd"/>
      <w:r>
        <w:t xml:space="preserve">-Altman em escala absoluta, sobre amostra que abrange três ordens de grandeza de volume (0,01 a 20 </w:t>
      </w:r>
      <w:proofErr w:type="spellStart"/>
      <w:r>
        <w:t>mL</w:t>
      </w:r>
      <w:proofErr w:type="spellEnd"/>
      <w:r>
        <w:t>), produziria limites dominados pelos cálculos grandes e clinicamente ininterpretáveis.</w:t>
      </w:r>
    </w:p>
    <w:p w14:paraId="43E3F54F" w14:textId="77777777" w:rsidR="00E05E1E" w:rsidRDefault="00000000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9.2. Tendência proporcional</w:t>
      </w:r>
    </w:p>
    <w:p w14:paraId="1B46AA63" w14:textId="77777777" w:rsidR="00E05E1E" w:rsidRDefault="00000000">
      <w:r>
        <w:t>Regressão linear de Δ% sobre log₂(</w:t>
      </w:r>
      <w:proofErr w:type="spellStart"/>
      <w:r>
        <w:t>gt_vol</w:t>
      </w:r>
      <w:proofErr w:type="spellEnd"/>
      <w:r>
        <w:t>), com IC 95% para a inclinação, expressando a variação do erro percentual por duplicação do volume de referência.</w:t>
      </w:r>
    </w:p>
    <w:p w14:paraId="0103491F" w14:textId="77777777" w:rsidR="00E05E1E" w:rsidRDefault="00000000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9.3. Sobre o CCC e o ICC — vedação explícita</w:t>
      </w:r>
    </w:p>
    <w:p w14:paraId="7618E3BB" w14:textId="77777777" w:rsidR="00E05E1E" w:rsidRDefault="00000000">
      <w:r>
        <w:t>O CCC e o ICC inflam com a heterogeneidade da amostra. Numa coleção que abrange três ordens de grandeza de volume, qualquer método minimamente funcional produzirá CCC &gt; 0,99, porque a variância entre cálculos domina a variância do erro. Um CCC elevado responde "o método distingue cálculos grandes de pequenos?", e não "o método acerta o volume?". O CCC é reportado apenas por comparabilidade com a literatura, e seu uso como critério de aceitação ou como evidência principal de acurácia é vedado por este protocolo.</w:t>
      </w:r>
    </w:p>
    <w:p w14:paraId="33E562FD" w14:textId="77777777" w:rsidR="00E05E1E" w:rsidRDefault="00000000">
      <w:pPr>
        <w:pStyle w:val="Ttulo1"/>
        <w:spacing w:before="280" w:after="140"/>
      </w:pPr>
      <w:r>
        <w:rPr>
          <w:b/>
          <w:bCs/>
          <w:color w:val="1F3864"/>
          <w:sz w:val="28"/>
          <w:szCs w:val="28"/>
        </w:rPr>
        <w:t>10. Critérios de aceitação</w:t>
      </w:r>
    </w:p>
    <w:p w14:paraId="02135211" w14:textId="77777777" w:rsidR="00E05E1E" w:rsidRDefault="00000000">
      <w:r>
        <w:t>Aplicáveis ao desfecho primário: braço 1, conjunto lacrado, estrato ≥ 10 mm.</w:t>
      </w:r>
    </w:p>
    <w:p w14:paraId="3A3FF499" w14:textId="77777777" w:rsidR="00E05E1E" w:rsidRDefault="00E05E1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5226"/>
      </w:tblGrid>
      <w:tr w:rsidR="00E05E1E" w14:paraId="1AC2F6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9761AF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8B47B9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52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B532F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 e limiar</w:t>
            </w:r>
          </w:p>
        </w:tc>
      </w:tr>
      <w:tr w:rsidR="00E05E1E" w14:paraId="086EF0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824626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CA-1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CA046F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Precisão</w:t>
            </w:r>
          </w:p>
        </w:tc>
        <w:tc>
          <w:tcPr>
            <w:tcW w:w="52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18EDFD" w14:textId="77777777" w:rsidR="00E05E1E" w:rsidRDefault="00000000">
            <w:pPr>
              <w:spacing w:after="0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Semi-amplitude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dos limites de concordância de 95% ≤ 25 pontos percentuais em torno do viés médio. Confortavelmente acima do piso de quantização da referência (≤ 1,9% no estrato).</w:t>
            </w:r>
          </w:p>
        </w:tc>
      </w:tr>
      <w:tr w:rsidR="00E05E1E" w14:paraId="78C78F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142106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CA-2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43A68A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Ausência de tendência</w:t>
            </w:r>
          </w:p>
        </w:tc>
        <w:tc>
          <w:tcPr>
            <w:tcW w:w="52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58E148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|Inclinação| da regressão de Δ% sobre log₂(</w:t>
            </w:r>
            <w:proofErr w:type="spellStart"/>
            <w:r>
              <w:rPr>
                <w:color w:val="000000"/>
                <w:sz w:val="20"/>
                <w:szCs w:val="20"/>
              </w:rPr>
              <w:t>gt_vol</w:t>
            </w:r>
            <w:proofErr w:type="spellEnd"/>
            <w:r>
              <w:rPr>
                <w:color w:val="000000"/>
                <w:sz w:val="20"/>
                <w:szCs w:val="20"/>
              </w:rPr>
              <w:t>) ≤ 5 pontos percentuais por duplicação de volume, OU IC 95% da inclinação contendo zero.</w:t>
            </w:r>
          </w:p>
        </w:tc>
      </w:tr>
      <w:tr w:rsidR="00E05E1E" w14:paraId="06DF197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DCD7F2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CA-3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52007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Robustez</w:t>
            </w:r>
          </w:p>
        </w:tc>
        <w:tc>
          <w:tcPr>
            <w:tcW w:w="52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BA8076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Taxa de falha de segmentação ≤ 5% no estrato primário.</w:t>
            </w:r>
          </w:p>
        </w:tc>
      </w:tr>
      <w:tr w:rsidR="00E05E1E" w14:paraId="2EC7B0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1BC75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lastRenderedPageBreak/>
              <w:t>CA-4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07AB7E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Viés</w:t>
            </w:r>
          </w:p>
        </w:tc>
        <w:tc>
          <w:tcPr>
            <w:tcW w:w="52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AFC8E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CARACTERIZADO E REPORTADO. Sem critério de reprovação — ver justificativa abaixo.</w:t>
            </w:r>
          </w:p>
        </w:tc>
      </w:tr>
    </w:tbl>
    <w:p w14:paraId="3DBC7B9D" w14:textId="77777777" w:rsidR="00E05E1E" w:rsidRDefault="00E05E1E">
      <w:pPr>
        <w:spacing w:after="80"/>
      </w:pPr>
    </w:p>
    <w:p w14:paraId="02DF1486" w14:textId="77777777" w:rsidR="00E05E1E" w:rsidRDefault="00000000">
      <w:r>
        <w:rPr>
          <w:b/>
          <w:bCs/>
        </w:rPr>
        <w:t xml:space="preserve">Ausência deliberada de critério de reprovação sobre o viés. </w:t>
      </w:r>
      <w:r>
        <w:t xml:space="preserve">O limiar de 200 UH situa-se abaixo da meia-altura da maioria dos cálculos do conjunto (cujos picos vão de 408 a 2312 UH) e, portanto, superestima o volume físico por construção. A magnitude dessa superestimação é precisamente o que o estudo existe para medir. Estabelecer um critério de reprovação sobre ela equivaleria a pré-julgar o resultado. O viés é caracterizado, reportado e, se |viés| &gt; 10%, DECLARADO nas Instruções de Uso como viés sistemático conhecido e quantificado do método de contagem de </w:t>
      </w:r>
      <w:proofErr w:type="spellStart"/>
      <w:r>
        <w:t>voxels</w:t>
      </w:r>
      <w:proofErr w:type="spellEnd"/>
      <w:r>
        <w:t xml:space="preserve"> a 200 UH.</w:t>
      </w:r>
    </w:p>
    <w:p w14:paraId="43230E07" w14:textId="77777777" w:rsidR="00E05E1E" w:rsidRDefault="00E05E1E">
      <w:pPr>
        <w:spacing w:after="80"/>
      </w:pPr>
    </w:p>
    <w:p w14:paraId="32DE08F9" w14:textId="77777777" w:rsidR="00E05E1E" w:rsidRDefault="00000000">
      <w:r>
        <w:rPr>
          <w:b/>
          <w:bCs/>
        </w:rPr>
        <w:t xml:space="preserve">Nota sobre o viés de composição. </w:t>
      </w:r>
      <w:r>
        <w:t>Um limiar fixo produz viés dependente da densidade do cálculo: com corte em 200 UH, um cálculo de 408 UH de pico é segmentado a 49% de seu pico (próximo da meia-altura), enquanto um de 2312 UH é segmentado a 8,6% de seu pico (muito abaixo da meia-altura). A superestimação é, portanto, maior nos cálculos mais densos. Este efeito é esperado, é intrínseco a qualquer limiar fixo, e será caracterizado pela estratificação por composição.</w:t>
      </w:r>
    </w:p>
    <w:p w14:paraId="0B0B0E8E" w14:textId="77777777" w:rsidR="00E05E1E" w:rsidRDefault="00000000">
      <w:pPr>
        <w:pStyle w:val="Ttulo1"/>
        <w:spacing w:before="280" w:after="140"/>
      </w:pPr>
      <w:r>
        <w:rPr>
          <w:b/>
          <w:bCs/>
          <w:color w:val="1F3864"/>
          <w:sz w:val="28"/>
          <w:szCs w:val="28"/>
        </w:rPr>
        <w:t>11. Exclusões</w:t>
      </w:r>
    </w:p>
    <w:p w14:paraId="423A05BF" w14:textId="77777777" w:rsidR="00E05E1E" w:rsidRDefault="00000000">
      <w:proofErr w:type="spellStart"/>
      <w:r>
        <w:t>Pré</w:t>
      </w:r>
      <w:proofErr w:type="spellEnd"/>
      <w:r>
        <w:t xml:space="preserve">-especificadas. Toda exclusão é contabilizada, categorizada e reportada. Nenhuma exclusão pode ser decidida após a inspeção do desfecho do cálculo em questão. Não é permitido substituir, imputar ou </w:t>
      </w:r>
      <w:proofErr w:type="spellStart"/>
      <w:r>
        <w:t>re-segmentar</w:t>
      </w:r>
      <w:proofErr w:type="spellEnd"/>
      <w:r>
        <w:t xml:space="preserve"> manualmente um cálculo excluído.</w:t>
      </w:r>
    </w:p>
    <w:p w14:paraId="46FB5803" w14:textId="77777777" w:rsidR="00E05E1E" w:rsidRDefault="00E05E1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E05E1E" w14:paraId="4FBAA4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6C4CF3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Motivo</w:t>
            </w:r>
          </w:p>
        </w:tc>
        <w:tc>
          <w:tcPr>
            <w:tcW w:w="56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0C24B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 operacional</w:t>
            </w:r>
          </w:p>
        </w:tc>
      </w:tr>
      <w:tr w:rsidR="00E05E1E" w14:paraId="05B884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3409F2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Falha de segmentação</w:t>
            </w:r>
          </w:p>
        </w:tc>
        <w:tc>
          <w:tcPr>
            <w:tcW w:w="56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6E5B7C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 xml:space="preserve">Nenhum componente conexo com ≥ 3 </w:t>
            </w:r>
            <w:proofErr w:type="spellStart"/>
            <w:r>
              <w:rPr>
                <w:color w:val="000000"/>
                <w:sz w:val="20"/>
                <w:szCs w:val="20"/>
              </w:rPr>
              <w:t>voxels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ponto de operação</w:t>
            </w:r>
          </w:p>
        </w:tc>
      </w:tr>
      <w:tr w:rsidR="00E05E1E" w14:paraId="16DCFA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B97405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Cálculo truncado pelo VOI</w:t>
            </w:r>
          </w:p>
        </w:tc>
        <w:tc>
          <w:tcPr>
            <w:tcW w:w="56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A48DB3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Componente conexo tocando a face do volume de interesse</w:t>
            </w:r>
          </w:p>
        </w:tc>
      </w:tr>
      <w:tr w:rsidR="00E05E1E" w14:paraId="219424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81C3E8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Referência ausente ou nula</w:t>
            </w:r>
          </w:p>
        </w:tc>
        <w:tc>
          <w:tcPr>
            <w:tcW w:w="56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456DDB" w14:textId="77777777" w:rsidR="00E05E1E" w:rsidRDefault="00000000">
            <w:pPr>
              <w:spacing w:after="0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gt_vol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ausente ou igual a zero</w:t>
            </w:r>
          </w:p>
        </w:tc>
      </w:tr>
    </w:tbl>
    <w:p w14:paraId="4B4845D2" w14:textId="77777777" w:rsidR="00E05E1E" w:rsidRDefault="00E05E1E">
      <w:pPr>
        <w:spacing w:after="80"/>
      </w:pPr>
    </w:p>
    <w:p w14:paraId="2EAB598A" w14:textId="77777777" w:rsidR="00E05E1E" w:rsidRDefault="00000000">
      <w:r>
        <w:t>O critério de exclusão por VAZAMENTO, previsto na v1.0, é SUPRIMIDO: os volumes de interesse são recortes contendo um único cálculo isolado em água, sem estruturas densas adjacentes para as quais o crescimento de região pudesse escapar.</w:t>
      </w:r>
    </w:p>
    <w:p w14:paraId="7E96CB36" w14:textId="77777777" w:rsidR="00E05E1E" w:rsidRDefault="00000000">
      <w:r>
        <w:t xml:space="preserve">Falhas são EXCLUÍDAS da análise de </w:t>
      </w:r>
      <w:proofErr w:type="spellStart"/>
      <w:r>
        <w:t>Bland</w:t>
      </w:r>
      <w:proofErr w:type="spellEnd"/>
      <w:r>
        <w:t>-Altman e INCLUÍDAS no denominador da taxa de falha (CA-3).</w:t>
      </w:r>
    </w:p>
    <w:p w14:paraId="79FECCC7" w14:textId="77777777" w:rsidR="00E05E1E" w:rsidRDefault="00000000">
      <w:pPr>
        <w:pStyle w:val="Ttulo1"/>
        <w:spacing w:before="280" w:after="140"/>
      </w:pPr>
      <w:r>
        <w:rPr>
          <w:b/>
          <w:bCs/>
          <w:color w:val="1F3864"/>
          <w:sz w:val="28"/>
          <w:szCs w:val="28"/>
        </w:rPr>
        <w:t>12. Regras de integridade</w:t>
      </w:r>
    </w:p>
    <w:p w14:paraId="3F02D95E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>EXECUÇÃO ÚNICA sobre o conjunto lacrado. Reexecuções admitidas apenas por falha técnica documentada, com código idêntico e registro do incidente.</w:t>
      </w:r>
    </w:p>
    <w:p w14:paraId="6B59B45A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PROIBIÇÃO DE AJUSTE PÓS-DESFECHO. Nenhum parâmetro pode ser alterado após a visualização de qualquer desfecho do conjunto lacrado. Se um ajuste se mostrar necessário, o estudo é DESCARTADO como validação e passa a constar como estudo de desenvolvimento; a validação exigirá conjunto independente.</w:t>
      </w:r>
    </w:p>
    <w:p w14:paraId="6B68CC4A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>SEPARAÇÃO DE CONJUNTOS. O conjunto de desenvolvimento é irrestrito. O conjunto lacrado é inacessível até o congelamento.</w:t>
      </w:r>
    </w:p>
    <w:p w14:paraId="2E722CCB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REGISTRO CRIPTOGRÁFICO. Antes da execução, registram-se o SHA-256 deste protocolo, o SHA-1 do </w:t>
      </w:r>
      <w:proofErr w:type="spellStart"/>
      <w:r>
        <w:t>commit</w:t>
      </w:r>
      <w:proofErr w:type="spellEnd"/>
      <w:r>
        <w:t xml:space="preserve"> do código, os SHA-256 dos arquivos do conjunto de dados e a semente da divisão.</w:t>
      </w:r>
    </w:p>
    <w:p w14:paraId="6D2D2F9A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VERIFICAÇÃO PRÉVIA EM DADO SINTÉTICO. Antes de qualquer execução, o código é verificado contra esferas sintéticas de volume analiticamente conhecido, com PSF e geometria de </w:t>
      </w:r>
      <w:proofErr w:type="spellStart"/>
      <w:r>
        <w:t>voxel</w:t>
      </w:r>
      <w:proofErr w:type="spellEnd"/>
      <w:r>
        <w:t xml:space="preserve"> equivalentes às do conjunto. Discrepâncias são corrigidas nessa etapa. Esta verificação não constitui ajuste de parâmetro.</w:t>
      </w:r>
    </w:p>
    <w:p w14:paraId="79880833" w14:textId="77777777" w:rsidR="00E05E1E" w:rsidRDefault="00000000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12.1. Registro de desvio já ocorrido</w:t>
      </w:r>
    </w:p>
    <w:p w14:paraId="72AF8409" w14:textId="28CC9498" w:rsidR="00E05E1E" w:rsidRDefault="00000000">
      <w:r>
        <w:t xml:space="preserve">Data: </w:t>
      </w:r>
      <w:r w:rsidR="008242D2">
        <w:t xml:space="preserve">12 / 07 / </w:t>
      </w:r>
      <w:r>
        <w:t xml:space="preserve">2026. A saída do inventário da Fase 0 incluiu, por erro de especificação do script, a contagem de </w:t>
      </w:r>
      <w:proofErr w:type="spellStart"/>
      <w:r>
        <w:t>voxels</w:t>
      </w:r>
      <w:proofErr w:type="spellEnd"/>
      <w:r>
        <w:t xml:space="preserve"> nulos por cálculo (</w:t>
      </w:r>
      <w:proofErr w:type="spellStart"/>
      <w:r>
        <w:t>n_zero</w:t>
      </w:r>
      <w:proofErr w:type="spellEnd"/>
      <w:r>
        <w:t xml:space="preserve">). Combinada à forma do volume de interesse, essa informação permitiria derivar aproximadamente o volume que um limiar próximo ao de mascaramento (~101 UH) produziria, e compará-lo à referência. </w:t>
      </w:r>
      <w:r>
        <w:rPr>
          <w:b/>
          <w:bCs/>
        </w:rPr>
        <w:t>Nenhuma tal derivação ou comparação foi realizada.</w:t>
      </w:r>
      <w:r>
        <w:t xml:space="preserve"> O ponto de operação de 200 UH já estava definido no </w:t>
      </w:r>
      <w:proofErr w:type="spellStart"/>
      <w:r>
        <w:t>LithosRad</w:t>
      </w:r>
      <w:proofErr w:type="spellEnd"/>
      <w:r>
        <w:t xml:space="preserve"> anteriormente e independentemente (Seção 3.1), e não foi alterado. Registra-se o fato por transparência. Impacto declarado sobre a validade dos desfechos: nenhum.</w:t>
      </w:r>
    </w:p>
    <w:p w14:paraId="526942AE" w14:textId="77777777" w:rsidR="00E05E1E" w:rsidRDefault="00000000">
      <w:pPr>
        <w:pStyle w:val="Ttulo1"/>
        <w:spacing w:before="280" w:after="140"/>
      </w:pPr>
      <w:r>
        <w:rPr>
          <w:b/>
          <w:bCs/>
          <w:color w:val="1F3864"/>
          <w:sz w:val="28"/>
          <w:szCs w:val="28"/>
        </w:rPr>
        <w:t>13. Registro de desvios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2600"/>
        <w:gridCol w:w="2626"/>
      </w:tblGrid>
      <w:tr w:rsidR="00E05E1E" w14:paraId="2C199E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2FFF54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63057E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Desvio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693A8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  <w:tc>
          <w:tcPr>
            <w:tcW w:w="26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B68A0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declarado</w:t>
            </w:r>
          </w:p>
        </w:tc>
      </w:tr>
      <w:tr w:rsidR="00E05E1E" w14:paraId="0BD41B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EB7F9D" w14:textId="77777777" w:rsidR="00E05E1E" w:rsidRDefault="00E05E1E">
            <w:pPr>
              <w:spacing w:after="0"/>
              <w:jc w:val="left"/>
            </w:pP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8BAAC2" w14:textId="77777777" w:rsidR="00E05E1E" w:rsidRDefault="00E05E1E">
            <w:pPr>
              <w:spacing w:after="0"/>
              <w:jc w:val="left"/>
            </w:pP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22D713" w14:textId="77777777" w:rsidR="00E05E1E" w:rsidRDefault="00E05E1E">
            <w:pPr>
              <w:spacing w:after="0"/>
              <w:jc w:val="left"/>
            </w:pPr>
          </w:p>
        </w:tc>
        <w:tc>
          <w:tcPr>
            <w:tcW w:w="26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A1E4D3" w14:textId="77777777" w:rsidR="00E05E1E" w:rsidRDefault="00E05E1E">
            <w:pPr>
              <w:spacing w:after="0"/>
              <w:jc w:val="left"/>
            </w:pPr>
          </w:p>
        </w:tc>
      </w:tr>
      <w:tr w:rsidR="00E05E1E" w14:paraId="2977AF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DC360" w14:textId="77777777" w:rsidR="00E05E1E" w:rsidRDefault="00E05E1E">
            <w:pPr>
              <w:spacing w:after="0"/>
              <w:jc w:val="left"/>
            </w:pP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7D2EC3" w14:textId="77777777" w:rsidR="00E05E1E" w:rsidRDefault="00E05E1E">
            <w:pPr>
              <w:spacing w:after="0"/>
              <w:jc w:val="left"/>
            </w:pP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77D678" w14:textId="77777777" w:rsidR="00E05E1E" w:rsidRDefault="00E05E1E">
            <w:pPr>
              <w:spacing w:after="0"/>
              <w:jc w:val="left"/>
            </w:pPr>
          </w:p>
        </w:tc>
        <w:tc>
          <w:tcPr>
            <w:tcW w:w="26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6B7517" w14:textId="77777777" w:rsidR="00E05E1E" w:rsidRDefault="00E05E1E">
            <w:pPr>
              <w:spacing w:after="0"/>
              <w:jc w:val="left"/>
            </w:pPr>
          </w:p>
        </w:tc>
      </w:tr>
      <w:tr w:rsidR="00E05E1E" w14:paraId="453EE9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8FBC4E" w14:textId="77777777" w:rsidR="00E05E1E" w:rsidRDefault="00E05E1E">
            <w:pPr>
              <w:spacing w:after="0"/>
              <w:jc w:val="left"/>
            </w:pP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37F2A5" w14:textId="77777777" w:rsidR="00E05E1E" w:rsidRDefault="00E05E1E">
            <w:pPr>
              <w:spacing w:after="0"/>
              <w:jc w:val="left"/>
            </w:pP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649CF4" w14:textId="77777777" w:rsidR="00E05E1E" w:rsidRDefault="00E05E1E">
            <w:pPr>
              <w:spacing w:after="0"/>
              <w:jc w:val="left"/>
            </w:pPr>
          </w:p>
        </w:tc>
        <w:tc>
          <w:tcPr>
            <w:tcW w:w="26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E5FD9A" w14:textId="77777777" w:rsidR="00E05E1E" w:rsidRDefault="00E05E1E">
            <w:pPr>
              <w:spacing w:after="0"/>
              <w:jc w:val="left"/>
            </w:pPr>
          </w:p>
        </w:tc>
      </w:tr>
    </w:tbl>
    <w:p w14:paraId="3842B0B1" w14:textId="77777777" w:rsidR="008242D2" w:rsidRDefault="008242D2">
      <w:pPr>
        <w:pStyle w:val="Ttulo1"/>
        <w:spacing w:before="280" w:after="140"/>
        <w:rPr>
          <w:b/>
          <w:bCs/>
          <w:color w:val="1F3864"/>
          <w:sz w:val="28"/>
          <w:szCs w:val="28"/>
        </w:rPr>
      </w:pPr>
    </w:p>
    <w:p w14:paraId="072EBACD" w14:textId="77777777" w:rsidR="008242D2" w:rsidRDefault="008242D2">
      <w:pPr>
        <w:pStyle w:val="Ttulo1"/>
        <w:spacing w:before="280" w:after="140"/>
        <w:rPr>
          <w:b/>
          <w:bCs/>
          <w:color w:val="1F3864"/>
          <w:sz w:val="28"/>
          <w:szCs w:val="28"/>
        </w:rPr>
      </w:pPr>
    </w:p>
    <w:p w14:paraId="52CA3CBF" w14:textId="77777777" w:rsidR="008242D2" w:rsidRDefault="008242D2">
      <w:pPr>
        <w:pStyle w:val="Ttulo1"/>
        <w:spacing w:before="280" w:after="140"/>
        <w:rPr>
          <w:b/>
          <w:bCs/>
          <w:color w:val="1F3864"/>
          <w:sz w:val="28"/>
          <w:szCs w:val="28"/>
        </w:rPr>
      </w:pPr>
    </w:p>
    <w:p w14:paraId="32C7640A" w14:textId="77777777" w:rsidR="008242D2" w:rsidRDefault="008242D2">
      <w:pPr>
        <w:pStyle w:val="Ttulo1"/>
        <w:spacing w:before="280" w:after="140"/>
        <w:rPr>
          <w:b/>
          <w:bCs/>
          <w:color w:val="1F3864"/>
          <w:sz w:val="28"/>
          <w:szCs w:val="28"/>
        </w:rPr>
      </w:pPr>
    </w:p>
    <w:p w14:paraId="3D2F6C2F" w14:textId="77777777" w:rsidR="008242D2" w:rsidRDefault="008242D2">
      <w:pPr>
        <w:pStyle w:val="Ttulo1"/>
        <w:spacing w:before="280" w:after="140"/>
        <w:rPr>
          <w:b/>
          <w:bCs/>
          <w:color w:val="1F3864"/>
          <w:sz w:val="28"/>
          <w:szCs w:val="28"/>
        </w:rPr>
      </w:pPr>
    </w:p>
    <w:p w14:paraId="075EB57E" w14:textId="77777777" w:rsidR="008242D2" w:rsidRDefault="008242D2">
      <w:pPr>
        <w:pStyle w:val="Ttulo1"/>
        <w:spacing w:before="280" w:after="140"/>
        <w:rPr>
          <w:b/>
          <w:bCs/>
          <w:color w:val="1F3864"/>
          <w:sz w:val="28"/>
          <w:szCs w:val="28"/>
        </w:rPr>
      </w:pPr>
    </w:p>
    <w:p w14:paraId="1988AEC0" w14:textId="5F56288E" w:rsidR="00E05E1E" w:rsidRDefault="00000000">
      <w:pPr>
        <w:pStyle w:val="Ttulo1"/>
        <w:spacing w:before="280" w:after="140"/>
      </w:pPr>
      <w:r>
        <w:rPr>
          <w:b/>
          <w:bCs/>
          <w:color w:val="1F3864"/>
          <w:sz w:val="28"/>
          <w:szCs w:val="28"/>
        </w:rPr>
        <w:lastRenderedPageBreak/>
        <w:t>14. Aprovação</w:t>
      </w:r>
    </w:p>
    <w:p w14:paraId="2BA4C0B0" w14:textId="77777777" w:rsidR="00E05E1E" w:rsidRDefault="00000000">
      <w:r>
        <w:t>As assinaturas atestam que este protocolo foi integralmente definido antes de qualquer acesso a desfechos do conjunto de dados.</w:t>
      </w:r>
    </w:p>
    <w:p w14:paraId="6A80D79B" w14:textId="77777777" w:rsidR="00E05E1E" w:rsidRDefault="00E05E1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E05E1E" w14:paraId="6E028A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DC53EF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8CF6F9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EBB81B" w14:textId="77777777" w:rsidR="00E05E1E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Assinatura / Data</w:t>
            </w:r>
          </w:p>
        </w:tc>
      </w:tr>
      <w:tr w:rsidR="00E05E1E" w14:paraId="6B031C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9572A8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Responsável técnico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5C9BE0" w14:textId="2C76A204" w:rsidR="00E05E1E" w:rsidRDefault="008242D2">
            <w:pPr>
              <w:spacing w:after="0"/>
              <w:jc w:val="left"/>
            </w:pPr>
            <w:r>
              <w:t>Artur Montemezzo</w:t>
            </w:r>
          </w:p>
        </w:tc>
        <w:tc>
          <w:tcPr>
            <w:tcW w:w="3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D4E286" w14:textId="7D4993FF" w:rsidR="00E05E1E" w:rsidRDefault="00E05E1E">
            <w:pPr>
              <w:spacing w:after="0"/>
              <w:jc w:val="left"/>
            </w:pPr>
          </w:p>
        </w:tc>
      </w:tr>
      <w:tr w:rsidR="00E05E1E" w14:paraId="31A0A3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58E63B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Responsável pela execução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8563D6" w14:textId="79A9E2F8" w:rsidR="00E05E1E" w:rsidRDefault="008242D2">
            <w:pPr>
              <w:spacing w:after="0"/>
              <w:jc w:val="left"/>
            </w:pPr>
            <w:r>
              <w:t>Artur Montemezzo</w:t>
            </w:r>
          </w:p>
        </w:tc>
        <w:tc>
          <w:tcPr>
            <w:tcW w:w="3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53F310" w14:textId="0ABF9D9E" w:rsidR="00E05E1E" w:rsidRDefault="00E05E1E">
            <w:pPr>
              <w:spacing w:after="0"/>
              <w:jc w:val="left"/>
            </w:pPr>
          </w:p>
        </w:tc>
      </w:tr>
      <w:tr w:rsidR="00E05E1E" w14:paraId="7C355B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A54AD" w14:textId="77777777" w:rsidR="00E05E1E" w:rsidRDefault="00000000">
            <w:pPr>
              <w:spacing w:after="0"/>
              <w:jc w:val="left"/>
            </w:pPr>
            <w:r>
              <w:rPr>
                <w:color w:val="000000"/>
                <w:sz w:val="20"/>
                <w:szCs w:val="20"/>
              </w:rPr>
              <w:t>Responsável pela qualidade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7F6702" w14:textId="6F47F0A9" w:rsidR="00E05E1E" w:rsidRDefault="008242D2">
            <w:pPr>
              <w:spacing w:after="0"/>
              <w:jc w:val="left"/>
            </w:pPr>
            <w:r>
              <w:t>Artur Montemezzo</w:t>
            </w:r>
          </w:p>
        </w:tc>
        <w:tc>
          <w:tcPr>
            <w:tcW w:w="3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FA2CC" w14:textId="740E732A" w:rsidR="00E05E1E" w:rsidRDefault="00E05E1E">
            <w:pPr>
              <w:spacing w:after="0"/>
              <w:jc w:val="left"/>
            </w:pPr>
          </w:p>
        </w:tc>
      </w:tr>
      <w:tr w:rsidR="008242D2" w14:paraId="0E2F4510" w14:textId="77777777" w:rsidTr="0005247B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F02102" w14:textId="57C3D0D3" w:rsidR="008242D2" w:rsidRDefault="008242D2">
            <w:pPr>
              <w:spacing w:after="0"/>
              <w:jc w:val="left"/>
            </w:pPr>
            <w:r w:rsidRPr="008242D2">
              <w:t>Os três papéis são acumulados pelo mesmo responsável, conforme estrutura atual da HXBS Tecnologia Ltda.</w:t>
            </w:r>
          </w:p>
        </w:tc>
      </w:tr>
    </w:tbl>
    <w:p w14:paraId="260AE786" w14:textId="77777777" w:rsidR="00E05E1E" w:rsidRDefault="00000000">
      <w:pPr>
        <w:pStyle w:val="Ttulo1"/>
        <w:spacing w:before="280" w:after="140"/>
      </w:pPr>
      <w:r>
        <w:rPr>
          <w:b/>
          <w:bCs/>
          <w:color w:val="1F3864"/>
          <w:sz w:val="28"/>
          <w:szCs w:val="28"/>
        </w:rPr>
        <w:t>15. Anexos</w:t>
      </w:r>
    </w:p>
    <w:p w14:paraId="0B60B3E9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>Anexo A — Protocolo VAE-001 v1.0 (superado), para registro da sequência de eventos.</w:t>
      </w:r>
    </w:p>
    <w:p w14:paraId="17E295EA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>Anexo B — Relatório da Fase 0: inventário estrutural (fase0_inventario.md e fase0b_profundo.md).</w:t>
      </w:r>
    </w:p>
    <w:p w14:paraId="6A9DE22F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>Anexo C — Identificadores dos conjuntos de desenvolvimento e lacrado, com a semente da divisão.</w:t>
      </w:r>
    </w:p>
    <w:p w14:paraId="45FB1D69" w14:textId="77777777" w:rsidR="00E05E1E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Anexo D — Atribuição CC BY 4.0: Kellner E, Neubauer J. </w:t>
      </w:r>
      <w:proofErr w:type="spellStart"/>
      <w:r>
        <w:t>ct-uroliths-freiburg</w:t>
      </w:r>
      <w:proofErr w:type="spellEnd"/>
      <w:r>
        <w:t xml:space="preserve"> [</w:t>
      </w:r>
      <w:proofErr w:type="spellStart"/>
      <w:r>
        <w:t>Dataset</w:t>
      </w:r>
      <w:proofErr w:type="spellEnd"/>
      <w:r>
        <w:t xml:space="preserve">]. </w:t>
      </w:r>
      <w:proofErr w:type="spellStart"/>
      <w:r>
        <w:t>figshare</w:t>
      </w:r>
      <w:proofErr w:type="spellEnd"/>
      <w:r>
        <w:t>; 2023. DOI: 10.6084/m9.figshare.21992264. Licença CC BY 4.0.</w:t>
      </w:r>
    </w:p>
    <w:p w14:paraId="4DA4140B" w14:textId="77777777" w:rsidR="00E05E1E" w:rsidRDefault="00000000">
      <w:pPr>
        <w:pStyle w:val="Ttulo1"/>
        <w:spacing w:before="280" w:after="140"/>
      </w:pPr>
      <w:r>
        <w:rPr>
          <w:b/>
          <w:bCs/>
          <w:color w:val="1F3864"/>
          <w:sz w:val="28"/>
          <w:szCs w:val="28"/>
        </w:rPr>
        <w:t>16. Referências</w:t>
      </w:r>
    </w:p>
    <w:p w14:paraId="2AA1CE1A" w14:textId="77777777" w:rsidR="00E05E1E" w:rsidRDefault="00000000">
      <w:pPr>
        <w:spacing w:after="100" w:line="260" w:lineRule="auto"/>
        <w:ind w:left="340" w:hanging="340"/>
      </w:pPr>
      <w:r>
        <w:rPr>
          <w:sz w:val="20"/>
          <w:szCs w:val="20"/>
        </w:rPr>
        <w:t xml:space="preserve">1. Neubauer J, Wilhelm K, </w:t>
      </w:r>
      <w:proofErr w:type="spellStart"/>
      <w:r>
        <w:rPr>
          <w:sz w:val="20"/>
          <w:szCs w:val="20"/>
        </w:rPr>
        <w:t>Gratzke</w:t>
      </w:r>
      <w:proofErr w:type="spellEnd"/>
      <w:r>
        <w:rPr>
          <w:sz w:val="20"/>
          <w:szCs w:val="20"/>
        </w:rPr>
        <w:t xml:space="preserve"> C, Bamberg F, </w:t>
      </w:r>
      <w:proofErr w:type="spellStart"/>
      <w:r>
        <w:rPr>
          <w:sz w:val="20"/>
          <w:szCs w:val="20"/>
        </w:rPr>
        <w:t>Reisert</w:t>
      </w:r>
      <w:proofErr w:type="spellEnd"/>
      <w:r>
        <w:rPr>
          <w:sz w:val="20"/>
          <w:szCs w:val="20"/>
        </w:rPr>
        <w:t xml:space="preserve"> M, Kellner E. </w:t>
      </w:r>
      <w:proofErr w:type="spellStart"/>
      <w:r>
        <w:rPr>
          <w:sz w:val="20"/>
          <w:szCs w:val="20"/>
        </w:rPr>
        <w:t>Effect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surface-</w:t>
      </w:r>
      <w:proofErr w:type="spellStart"/>
      <w:r>
        <w:rPr>
          <w:sz w:val="20"/>
          <w:szCs w:val="20"/>
        </w:rPr>
        <w:t>partial</w:t>
      </w:r>
      <w:proofErr w:type="spellEnd"/>
      <w:r>
        <w:rPr>
          <w:sz w:val="20"/>
          <w:szCs w:val="20"/>
        </w:rPr>
        <w:t xml:space="preserve">-volume </w:t>
      </w:r>
      <w:proofErr w:type="spellStart"/>
      <w:r>
        <w:rPr>
          <w:sz w:val="20"/>
          <w:szCs w:val="20"/>
        </w:rPr>
        <w:t>correction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adaptive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threshold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segmentation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uroliths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computed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tomography</w:t>
      </w:r>
      <w:proofErr w:type="spellEnd"/>
      <w:r>
        <w:rPr>
          <w:sz w:val="20"/>
          <w:szCs w:val="20"/>
        </w:rPr>
        <w:t xml:space="preserve">. PLoS </w:t>
      </w:r>
      <w:proofErr w:type="spellStart"/>
      <w:r>
        <w:rPr>
          <w:sz w:val="20"/>
          <w:szCs w:val="20"/>
        </w:rPr>
        <w:t>One</w:t>
      </w:r>
      <w:proofErr w:type="spellEnd"/>
      <w:r>
        <w:rPr>
          <w:sz w:val="20"/>
          <w:szCs w:val="20"/>
        </w:rPr>
        <w:t>. 2023;18(6):e0286016.</w:t>
      </w:r>
    </w:p>
    <w:p w14:paraId="1C6C88B3" w14:textId="77777777" w:rsidR="00E05E1E" w:rsidRDefault="00000000">
      <w:pPr>
        <w:spacing w:after="100" w:line="260" w:lineRule="auto"/>
        <w:ind w:left="340" w:hanging="340"/>
      </w:pPr>
      <w:r>
        <w:rPr>
          <w:sz w:val="20"/>
          <w:szCs w:val="20"/>
        </w:rPr>
        <w:t xml:space="preserve">2. Kellner E, Neubauer J. </w:t>
      </w:r>
      <w:proofErr w:type="spellStart"/>
      <w:r>
        <w:rPr>
          <w:sz w:val="20"/>
          <w:szCs w:val="20"/>
        </w:rPr>
        <w:t>ct-uroliths-freiburg</w:t>
      </w:r>
      <w:proofErr w:type="spellEnd"/>
      <w:r>
        <w:rPr>
          <w:sz w:val="20"/>
          <w:szCs w:val="20"/>
        </w:rPr>
        <w:t xml:space="preserve"> [</w:t>
      </w:r>
      <w:proofErr w:type="spellStart"/>
      <w:r>
        <w:rPr>
          <w:sz w:val="20"/>
          <w:szCs w:val="20"/>
        </w:rPr>
        <w:t>Dataset</w:t>
      </w:r>
      <w:proofErr w:type="spellEnd"/>
      <w:r>
        <w:rPr>
          <w:sz w:val="20"/>
          <w:szCs w:val="20"/>
        </w:rPr>
        <w:t xml:space="preserve">]. </w:t>
      </w:r>
      <w:proofErr w:type="spellStart"/>
      <w:r>
        <w:rPr>
          <w:sz w:val="20"/>
          <w:szCs w:val="20"/>
        </w:rPr>
        <w:t>figshare</w:t>
      </w:r>
      <w:proofErr w:type="spellEnd"/>
      <w:r>
        <w:rPr>
          <w:sz w:val="20"/>
          <w:szCs w:val="20"/>
        </w:rPr>
        <w:t>; 2023. DOI: 10.6084/m9.figshare.21992264.</w:t>
      </w:r>
    </w:p>
    <w:p w14:paraId="0AC4F8EC" w14:textId="77777777" w:rsidR="00E05E1E" w:rsidRDefault="00000000">
      <w:pPr>
        <w:spacing w:after="100" w:line="260" w:lineRule="auto"/>
        <w:ind w:left="340" w:hanging="340"/>
      </w:pPr>
      <w:r>
        <w:rPr>
          <w:sz w:val="20"/>
          <w:szCs w:val="20"/>
        </w:rPr>
        <w:t xml:space="preserve">3. </w:t>
      </w:r>
      <w:proofErr w:type="spellStart"/>
      <w:r>
        <w:rPr>
          <w:sz w:val="20"/>
          <w:szCs w:val="20"/>
        </w:rPr>
        <w:t>Demehri</w:t>
      </w:r>
      <w:proofErr w:type="spellEnd"/>
      <w:r>
        <w:rPr>
          <w:sz w:val="20"/>
          <w:szCs w:val="20"/>
        </w:rPr>
        <w:t xml:space="preserve"> S, </w:t>
      </w:r>
      <w:proofErr w:type="spellStart"/>
      <w:r>
        <w:rPr>
          <w:sz w:val="20"/>
          <w:szCs w:val="20"/>
        </w:rPr>
        <w:t>Kalra</w:t>
      </w:r>
      <w:proofErr w:type="spellEnd"/>
      <w:r>
        <w:rPr>
          <w:sz w:val="20"/>
          <w:szCs w:val="20"/>
        </w:rPr>
        <w:t xml:space="preserve"> MK, </w:t>
      </w:r>
      <w:proofErr w:type="spellStart"/>
      <w:r>
        <w:rPr>
          <w:sz w:val="20"/>
          <w:szCs w:val="20"/>
        </w:rPr>
        <w:t>Rybicki</w:t>
      </w:r>
      <w:proofErr w:type="spellEnd"/>
      <w:r>
        <w:rPr>
          <w:sz w:val="20"/>
          <w:szCs w:val="20"/>
        </w:rPr>
        <w:t xml:space="preserve"> FJ, </w:t>
      </w:r>
      <w:proofErr w:type="spellStart"/>
      <w:r>
        <w:rPr>
          <w:sz w:val="20"/>
          <w:szCs w:val="20"/>
        </w:rPr>
        <w:t>Steigner</w:t>
      </w:r>
      <w:proofErr w:type="spellEnd"/>
      <w:r>
        <w:rPr>
          <w:sz w:val="20"/>
          <w:szCs w:val="20"/>
        </w:rPr>
        <w:t xml:space="preserve"> ML, Lang MJ, </w:t>
      </w:r>
      <w:proofErr w:type="spellStart"/>
      <w:r>
        <w:rPr>
          <w:sz w:val="20"/>
          <w:szCs w:val="20"/>
        </w:rPr>
        <w:t>Houseman</w:t>
      </w:r>
      <w:proofErr w:type="spellEnd"/>
      <w:r>
        <w:rPr>
          <w:sz w:val="20"/>
          <w:szCs w:val="20"/>
        </w:rPr>
        <w:t xml:space="preserve"> EA, et al. </w:t>
      </w:r>
      <w:proofErr w:type="spellStart"/>
      <w:r>
        <w:rPr>
          <w:sz w:val="20"/>
          <w:szCs w:val="20"/>
        </w:rPr>
        <w:t>Quantification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urinary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stone</w:t>
      </w:r>
      <w:proofErr w:type="spellEnd"/>
      <w:r>
        <w:rPr>
          <w:sz w:val="20"/>
          <w:szCs w:val="20"/>
        </w:rPr>
        <w:t xml:space="preserve"> volume: </w:t>
      </w:r>
      <w:proofErr w:type="spellStart"/>
      <w:r>
        <w:rPr>
          <w:sz w:val="20"/>
          <w:szCs w:val="20"/>
        </w:rPr>
        <w:t>attenuation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threshold-based</w:t>
      </w:r>
      <w:proofErr w:type="spellEnd"/>
      <w:r>
        <w:rPr>
          <w:sz w:val="20"/>
          <w:szCs w:val="20"/>
        </w:rPr>
        <w:t xml:space="preserve"> CT </w:t>
      </w:r>
      <w:proofErr w:type="spellStart"/>
      <w:r>
        <w:rPr>
          <w:sz w:val="20"/>
          <w:szCs w:val="20"/>
        </w:rPr>
        <w:t>method</w:t>
      </w:r>
      <w:proofErr w:type="spellEnd"/>
      <w:r>
        <w:rPr>
          <w:sz w:val="20"/>
          <w:szCs w:val="20"/>
        </w:rPr>
        <w:t xml:space="preserve"> — a </w:t>
      </w:r>
      <w:proofErr w:type="spellStart"/>
      <w:r>
        <w:rPr>
          <w:sz w:val="20"/>
          <w:szCs w:val="20"/>
        </w:rPr>
        <w:t>technical</w:t>
      </w:r>
      <w:proofErr w:type="spellEnd"/>
      <w:r>
        <w:rPr>
          <w:sz w:val="20"/>
          <w:szCs w:val="20"/>
        </w:rPr>
        <w:t xml:space="preserve"> note. </w:t>
      </w:r>
      <w:proofErr w:type="spellStart"/>
      <w:r>
        <w:rPr>
          <w:sz w:val="20"/>
          <w:szCs w:val="20"/>
        </w:rPr>
        <w:t>Radiology</w:t>
      </w:r>
      <w:proofErr w:type="spellEnd"/>
      <w:r>
        <w:rPr>
          <w:sz w:val="20"/>
          <w:szCs w:val="20"/>
        </w:rPr>
        <w:t>. 2011;258(3):915-22.</w:t>
      </w:r>
    </w:p>
    <w:p w14:paraId="418E2A8F" w14:textId="77777777" w:rsidR="00E05E1E" w:rsidRDefault="00000000">
      <w:pPr>
        <w:spacing w:after="100" w:line="260" w:lineRule="auto"/>
        <w:ind w:left="340" w:hanging="340"/>
      </w:pPr>
      <w:r>
        <w:rPr>
          <w:sz w:val="20"/>
          <w:szCs w:val="20"/>
        </w:rPr>
        <w:t xml:space="preserve">4. </w:t>
      </w:r>
      <w:proofErr w:type="spellStart"/>
      <w:r>
        <w:rPr>
          <w:sz w:val="20"/>
          <w:szCs w:val="20"/>
        </w:rPr>
        <w:t>Duan</w:t>
      </w:r>
      <w:proofErr w:type="spellEnd"/>
      <w:r>
        <w:rPr>
          <w:sz w:val="20"/>
          <w:szCs w:val="20"/>
        </w:rPr>
        <w:t xml:space="preserve"> X, Wang J, </w:t>
      </w:r>
      <w:proofErr w:type="spellStart"/>
      <w:r>
        <w:rPr>
          <w:sz w:val="20"/>
          <w:szCs w:val="20"/>
        </w:rPr>
        <w:t>Qu</w:t>
      </w:r>
      <w:proofErr w:type="spellEnd"/>
      <w:r>
        <w:rPr>
          <w:sz w:val="20"/>
          <w:szCs w:val="20"/>
        </w:rPr>
        <w:t xml:space="preserve"> M, Leng S, Liu Y, Krambeck A, et al. </w:t>
      </w:r>
      <w:proofErr w:type="spellStart"/>
      <w:r>
        <w:rPr>
          <w:sz w:val="20"/>
          <w:szCs w:val="20"/>
        </w:rPr>
        <w:t>Kidney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stone</w:t>
      </w:r>
      <w:proofErr w:type="spellEnd"/>
      <w:r>
        <w:rPr>
          <w:sz w:val="20"/>
          <w:szCs w:val="20"/>
        </w:rPr>
        <w:t xml:space="preserve"> volume </w:t>
      </w:r>
      <w:proofErr w:type="spellStart"/>
      <w:r>
        <w:rPr>
          <w:sz w:val="20"/>
          <w:szCs w:val="20"/>
        </w:rPr>
        <w:t>estimation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computerized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tomography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images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using</w:t>
      </w:r>
      <w:proofErr w:type="spellEnd"/>
      <w:r>
        <w:rPr>
          <w:sz w:val="20"/>
          <w:szCs w:val="20"/>
        </w:rPr>
        <w:t xml:space="preserve"> a model </w:t>
      </w:r>
      <w:proofErr w:type="spellStart"/>
      <w:r>
        <w:rPr>
          <w:sz w:val="20"/>
          <w:szCs w:val="20"/>
        </w:rPr>
        <w:t>based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method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correcting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point spread </w:t>
      </w:r>
      <w:proofErr w:type="spellStart"/>
      <w:r>
        <w:rPr>
          <w:sz w:val="20"/>
          <w:szCs w:val="20"/>
        </w:rPr>
        <w:t>function</w:t>
      </w:r>
      <w:proofErr w:type="spellEnd"/>
      <w:r>
        <w:rPr>
          <w:sz w:val="20"/>
          <w:szCs w:val="20"/>
        </w:rPr>
        <w:t>. J Urol. 2012;188(3):989-95.</w:t>
      </w:r>
    </w:p>
    <w:p w14:paraId="06038BF7" w14:textId="77777777" w:rsidR="00E05E1E" w:rsidRDefault="00000000">
      <w:pPr>
        <w:spacing w:after="100" w:line="260" w:lineRule="auto"/>
        <w:ind w:left="340" w:hanging="340"/>
      </w:pPr>
      <w:r>
        <w:rPr>
          <w:sz w:val="20"/>
          <w:szCs w:val="20"/>
        </w:rPr>
        <w:t xml:space="preserve">5. Huang AE, Montoya JC, </w:t>
      </w:r>
      <w:proofErr w:type="spellStart"/>
      <w:r>
        <w:rPr>
          <w:sz w:val="20"/>
          <w:szCs w:val="20"/>
        </w:rPr>
        <w:t>Shiung</w:t>
      </w:r>
      <w:proofErr w:type="spellEnd"/>
      <w:r>
        <w:rPr>
          <w:sz w:val="20"/>
          <w:szCs w:val="20"/>
        </w:rPr>
        <w:t xml:space="preserve"> M, Leng S, </w:t>
      </w:r>
      <w:proofErr w:type="spellStart"/>
      <w:r>
        <w:rPr>
          <w:sz w:val="20"/>
          <w:szCs w:val="20"/>
        </w:rPr>
        <w:t>McCollough</w:t>
      </w:r>
      <w:proofErr w:type="spellEnd"/>
      <w:r>
        <w:rPr>
          <w:sz w:val="20"/>
          <w:szCs w:val="20"/>
        </w:rPr>
        <w:t xml:space="preserve"> CH. </w:t>
      </w:r>
      <w:proofErr w:type="spellStart"/>
      <w:r>
        <w:rPr>
          <w:sz w:val="20"/>
          <w:szCs w:val="20"/>
        </w:rPr>
        <w:t>Consistency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renal </w:t>
      </w:r>
      <w:proofErr w:type="spellStart"/>
      <w:r>
        <w:rPr>
          <w:sz w:val="20"/>
          <w:szCs w:val="20"/>
        </w:rPr>
        <w:t>stone</w:t>
      </w:r>
      <w:proofErr w:type="spellEnd"/>
      <w:r>
        <w:rPr>
          <w:sz w:val="20"/>
          <w:szCs w:val="20"/>
        </w:rPr>
        <w:t xml:space="preserve"> volume </w:t>
      </w:r>
      <w:proofErr w:type="spellStart"/>
      <w:r>
        <w:rPr>
          <w:sz w:val="20"/>
          <w:szCs w:val="20"/>
        </w:rPr>
        <w:t>measurements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across</w:t>
      </w:r>
      <w:proofErr w:type="spellEnd"/>
      <w:r>
        <w:rPr>
          <w:sz w:val="20"/>
          <w:szCs w:val="20"/>
        </w:rPr>
        <w:t xml:space="preserve"> CT scanner model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reconstruction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algorithm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configurations</w:t>
      </w:r>
      <w:proofErr w:type="spellEnd"/>
      <w:r>
        <w:rPr>
          <w:sz w:val="20"/>
          <w:szCs w:val="20"/>
        </w:rPr>
        <w:t xml:space="preserve">. AJR Am J </w:t>
      </w:r>
      <w:proofErr w:type="spellStart"/>
      <w:r>
        <w:rPr>
          <w:sz w:val="20"/>
          <w:szCs w:val="20"/>
        </w:rPr>
        <w:t>Roentgenol</w:t>
      </w:r>
      <w:proofErr w:type="spellEnd"/>
      <w:r>
        <w:rPr>
          <w:sz w:val="20"/>
          <w:szCs w:val="20"/>
        </w:rPr>
        <w:t>. 2017;209(1):116-21.</w:t>
      </w:r>
    </w:p>
    <w:p w14:paraId="511D384E" w14:textId="77777777" w:rsidR="00E05E1E" w:rsidRDefault="00000000">
      <w:pPr>
        <w:spacing w:after="100" w:line="260" w:lineRule="auto"/>
        <w:ind w:left="340" w:hanging="340"/>
      </w:pPr>
      <w:r>
        <w:rPr>
          <w:sz w:val="20"/>
          <w:szCs w:val="20"/>
        </w:rPr>
        <w:t xml:space="preserve">6. Jain R, Omar M, </w:t>
      </w:r>
      <w:proofErr w:type="spellStart"/>
      <w:r>
        <w:rPr>
          <w:sz w:val="20"/>
          <w:szCs w:val="20"/>
        </w:rPr>
        <w:t>Chaparala</w:t>
      </w:r>
      <w:proofErr w:type="spellEnd"/>
      <w:r>
        <w:rPr>
          <w:sz w:val="20"/>
          <w:szCs w:val="20"/>
        </w:rPr>
        <w:t xml:space="preserve"> H, Kahn A, Li J, Kahn L, et al. </w:t>
      </w:r>
      <w:proofErr w:type="spellStart"/>
      <w:r>
        <w:rPr>
          <w:sz w:val="20"/>
          <w:szCs w:val="20"/>
        </w:rPr>
        <w:t>How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accurate</w:t>
      </w:r>
      <w:proofErr w:type="spellEnd"/>
      <w:r>
        <w:rPr>
          <w:sz w:val="20"/>
          <w:szCs w:val="20"/>
        </w:rPr>
        <w:t xml:space="preserve"> are </w:t>
      </w:r>
      <w:proofErr w:type="spellStart"/>
      <w:r>
        <w:rPr>
          <w:sz w:val="20"/>
          <w:szCs w:val="20"/>
        </w:rPr>
        <w:t>we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estimating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true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stone</w:t>
      </w:r>
      <w:proofErr w:type="spellEnd"/>
      <w:r>
        <w:rPr>
          <w:sz w:val="20"/>
          <w:szCs w:val="20"/>
        </w:rPr>
        <w:t xml:space="preserve"> volume? A </w:t>
      </w:r>
      <w:proofErr w:type="spellStart"/>
      <w:r>
        <w:rPr>
          <w:sz w:val="20"/>
          <w:szCs w:val="20"/>
        </w:rPr>
        <w:t>comparison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water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displacement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ellipsoid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formula</w:t>
      </w:r>
      <w:proofErr w:type="gram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a CT-</w:t>
      </w:r>
      <w:proofErr w:type="spellStart"/>
      <w:r>
        <w:rPr>
          <w:sz w:val="20"/>
          <w:szCs w:val="20"/>
        </w:rPr>
        <w:t>based</w:t>
      </w:r>
      <w:proofErr w:type="spellEnd"/>
      <w:r>
        <w:rPr>
          <w:sz w:val="20"/>
          <w:szCs w:val="20"/>
        </w:rPr>
        <w:t xml:space="preserve"> software tool. J </w:t>
      </w:r>
      <w:proofErr w:type="spellStart"/>
      <w:r>
        <w:rPr>
          <w:sz w:val="20"/>
          <w:szCs w:val="20"/>
        </w:rPr>
        <w:t>Endourol</w:t>
      </w:r>
      <w:proofErr w:type="spellEnd"/>
      <w:r>
        <w:rPr>
          <w:sz w:val="20"/>
          <w:szCs w:val="20"/>
        </w:rPr>
        <w:t>. 2018;32(6):572-6.</w:t>
      </w:r>
    </w:p>
    <w:p w14:paraId="6905DD4D" w14:textId="77777777" w:rsidR="00E05E1E" w:rsidRDefault="00000000">
      <w:pPr>
        <w:spacing w:after="100" w:line="260" w:lineRule="auto"/>
        <w:ind w:left="340" w:hanging="340"/>
      </w:pPr>
      <w:r>
        <w:rPr>
          <w:sz w:val="20"/>
          <w:szCs w:val="20"/>
        </w:rPr>
        <w:t xml:space="preserve">7. Wilhelm K, </w:t>
      </w:r>
      <w:proofErr w:type="spellStart"/>
      <w:r>
        <w:rPr>
          <w:sz w:val="20"/>
          <w:szCs w:val="20"/>
        </w:rPr>
        <w:t>Miernik</w:t>
      </w:r>
      <w:proofErr w:type="spellEnd"/>
      <w:r>
        <w:rPr>
          <w:sz w:val="20"/>
          <w:szCs w:val="20"/>
        </w:rPr>
        <w:t xml:space="preserve"> A, Hein S, </w:t>
      </w:r>
      <w:proofErr w:type="spellStart"/>
      <w:r>
        <w:rPr>
          <w:sz w:val="20"/>
          <w:szCs w:val="20"/>
        </w:rPr>
        <w:t>Schlager</w:t>
      </w:r>
      <w:proofErr w:type="spellEnd"/>
      <w:r>
        <w:rPr>
          <w:sz w:val="20"/>
          <w:szCs w:val="20"/>
        </w:rPr>
        <w:t xml:space="preserve"> D, Adams F, </w:t>
      </w:r>
      <w:proofErr w:type="spellStart"/>
      <w:r>
        <w:rPr>
          <w:sz w:val="20"/>
          <w:szCs w:val="20"/>
        </w:rPr>
        <w:t>Benndorf</w:t>
      </w:r>
      <w:proofErr w:type="spellEnd"/>
      <w:r>
        <w:rPr>
          <w:sz w:val="20"/>
          <w:szCs w:val="20"/>
        </w:rPr>
        <w:t xml:space="preserve"> M, et al. </w:t>
      </w:r>
      <w:proofErr w:type="spellStart"/>
      <w:r>
        <w:rPr>
          <w:sz w:val="20"/>
          <w:szCs w:val="20"/>
        </w:rPr>
        <w:t>Validating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automated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kidney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stone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volumetry</w:t>
      </w:r>
      <w:proofErr w:type="spellEnd"/>
      <w:r>
        <w:rPr>
          <w:sz w:val="20"/>
          <w:szCs w:val="20"/>
        </w:rPr>
        <w:t xml:space="preserve"> in CT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mathematical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correlation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estimated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stone</w:t>
      </w:r>
      <w:proofErr w:type="spellEnd"/>
      <w:r>
        <w:rPr>
          <w:sz w:val="20"/>
          <w:szCs w:val="20"/>
        </w:rPr>
        <w:t xml:space="preserve"> volume </w:t>
      </w:r>
      <w:proofErr w:type="spellStart"/>
      <w:r>
        <w:rPr>
          <w:sz w:val="20"/>
          <w:szCs w:val="20"/>
        </w:rPr>
        <w:t>based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diameter</w:t>
      </w:r>
      <w:proofErr w:type="spellEnd"/>
      <w:r>
        <w:rPr>
          <w:sz w:val="20"/>
          <w:szCs w:val="20"/>
        </w:rPr>
        <w:t xml:space="preserve">. J </w:t>
      </w:r>
      <w:proofErr w:type="spellStart"/>
      <w:r>
        <w:rPr>
          <w:sz w:val="20"/>
          <w:szCs w:val="20"/>
        </w:rPr>
        <w:t>Endourol</w:t>
      </w:r>
      <w:proofErr w:type="spellEnd"/>
      <w:r>
        <w:rPr>
          <w:sz w:val="20"/>
          <w:szCs w:val="20"/>
        </w:rPr>
        <w:t>. 2018;32(7):659-64.</w:t>
      </w:r>
    </w:p>
    <w:p w14:paraId="2107D26E" w14:textId="77777777" w:rsidR="00E05E1E" w:rsidRDefault="00000000">
      <w:pPr>
        <w:spacing w:after="100" w:line="260" w:lineRule="auto"/>
        <w:ind w:left="340" w:hanging="340"/>
      </w:pPr>
      <w:r>
        <w:rPr>
          <w:sz w:val="20"/>
          <w:szCs w:val="20"/>
        </w:rPr>
        <w:lastRenderedPageBreak/>
        <w:t xml:space="preserve">8. Christe A, Roth B, Fuster DG, </w:t>
      </w:r>
      <w:proofErr w:type="spellStart"/>
      <w:r>
        <w:rPr>
          <w:sz w:val="20"/>
          <w:szCs w:val="20"/>
        </w:rPr>
        <w:t>Shakarchi</w:t>
      </w:r>
      <w:proofErr w:type="spellEnd"/>
      <w:r>
        <w:rPr>
          <w:sz w:val="20"/>
          <w:szCs w:val="20"/>
        </w:rPr>
        <w:t xml:space="preserve"> K, </w:t>
      </w:r>
      <w:proofErr w:type="spellStart"/>
      <w:r>
        <w:rPr>
          <w:sz w:val="20"/>
          <w:szCs w:val="20"/>
        </w:rPr>
        <w:t>Drakopoulos</w:t>
      </w:r>
      <w:proofErr w:type="spellEnd"/>
      <w:r>
        <w:rPr>
          <w:sz w:val="20"/>
          <w:szCs w:val="20"/>
        </w:rPr>
        <w:t xml:space="preserve"> D, </w:t>
      </w:r>
      <w:proofErr w:type="spellStart"/>
      <w:r>
        <w:rPr>
          <w:sz w:val="20"/>
          <w:szCs w:val="20"/>
        </w:rPr>
        <w:t>Primetis</w:t>
      </w:r>
      <w:proofErr w:type="spellEnd"/>
      <w:r>
        <w:rPr>
          <w:sz w:val="20"/>
          <w:szCs w:val="20"/>
        </w:rPr>
        <w:t xml:space="preserve"> E, et al. </w:t>
      </w:r>
      <w:proofErr w:type="spellStart"/>
      <w:r>
        <w:rPr>
          <w:sz w:val="20"/>
          <w:szCs w:val="20"/>
        </w:rPr>
        <w:t>Partial</w:t>
      </w:r>
      <w:proofErr w:type="spellEnd"/>
      <w:r>
        <w:rPr>
          <w:sz w:val="20"/>
          <w:szCs w:val="20"/>
        </w:rPr>
        <w:t xml:space="preserve"> volume </w:t>
      </w:r>
      <w:proofErr w:type="spellStart"/>
      <w:r>
        <w:rPr>
          <w:sz w:val="20"/>
          <w:szCs w:val="20"/>
        </w:rPr>
        <w:t>effect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kidney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stones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nodules</w:t>
      </w:r>
      <w:proofErr w:type="spellEnd"/>
      <w:r>
        <w:rPr>
          <w:sz w:val="20"/>
          <w:szCs w:val="20"/>
        </w:rPr>
        <w:t xml:space="preserve"> in CT </w:t>
      </w:r>
      <w:proofErr w:type="spellStart"/>
      <w:r>
        <w:rPr>
          <w:sz w:val="20"/>
          <w:szCs w:val="20"/>
        </w:rPr>
        <w:t>imaging</w:t>
      </w:r>
      <w:proofErr w:type="spellEnd"/>
      <w:r>
        <w:rPr>
          <w:sz w:val="20"/>
          <w:szCs w:val="20"/>
        </w:rPr>
        <w:t xml:space="preserve">. PLoS </w:t>
      </w:r>
      <w:proofErr w:type="spellStart"/>
      <w:r>
        <w:rPr>
          <w:sz w:val="20"/>
          <w:szCs w:val="20"/>
        </w:rPr>
        <w:t>One</w:t>
      </w:r>
      <w:proofErr w:type="spellEnd"/>
      <w:r>
        <w:rPr>
          <w:sz w:val="20"/>
          <w:szCs w:val="20"/>
        </w:rPr>
        <w:t>. 2025;20(10):e0334597.</w:t>
      </w:r>
    </w:p>
    <w:p w14:paraId="44207850" w14:textId="77777777" w:rsidR="00E05E1E" w:rsidRDefault="00000000">
      <w:pPr>
        <w:spacing w:after="100" w:line="260" w:lineRule="auto"/>
        <w:ind w:left="340" w:hanging="340"/>
      </w:pPr>
      <w:r>
        <w:rPr>
          <w:sz w:val="20"/>
          <w:szCs w:val="20"/>
        </w:rPr>
        <w:t xml:space="preserve">9. </w:t>
      </w:r>
      <w:proofErr w:type="spellStart"/>
      <w:r>
        <w:rPr>
          <w:sz w:val="20"/>
          <w:szCs w:val="20"/>
        </w:rPr>
        <w:t>Bland</w:t>
      </w:r>
      <w:proofErr w:type="spellEnd"/>
      <w:r>
        <w:rPr>
          <w:sz w:val="20"/>
          <w:szCs w:val="20"/>
        </w:rPr>
        <w:t xml:space="preserve"> JM, Altman DG. </w:t>
      </w:r>
      <w:proofErr w:type="spellStart"/>
      <w:r>
        <w:rPr>
          <w:sz w:val="20"/>
          <w:szCs w:val="20"/>
        </w:rPr>
        <w:t>Statistical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methods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assessing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agreement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between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two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methods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clinical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measurement</w:t>
      </w:r>
      <w:proofErr w:type="spellEnd"/>
      <w:r>
        <w:rPr>
          <w:sz w:val="20"/>
          <w:szCs w:val="20"/>
        </w:rPr>
        <w:t>. Lancet. 1986;1(8476):307-10.</w:t>
      </w:r>
    </w:p>
    <w:p w14:paraId="2CB4714D" w14:textId="77777777" w:rsidR="00E05E1E" w:rsidRDefault="00000000">
      <w:pPr>
        <w:spacing w:after="100" w:line="260" w:lineRule="auto"/>
        <w:ind w:left="340" w:hanging="340"/>
      </w:pPr>
      <w:r>
        <w:rPr>
          <w:sz w:val="20"/>
          <w:szCs w:val="20"/>
        </w:rPr>
        <w:t xml:space="preserve">10. Lin LI. A </w:t>
      </w:r>
      <w:proofErr w:type="spellStart"/>
      <w:r>
        <w:rPr>
          <w:sz w:val="20"/>
          <w:szCs w:val="20"/>
        </w:rPr>
        <w:t>concordance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correlation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coefficient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evaluate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reproducibility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Biometrics</w:t>
      </w:r>
      <w:proofErr w:type="spellEnd"/>
      <w:r>
        <w:rPr>
          <w:sz w:val="20"/>
          <w:szCs w:val="20"/>
        </w:rPr>
        <w:t>. 1989;45(1):255-68.</w:t>
      </w:r>
    </w:p>
    <w:p w14:paraId="216B6174" w14:textId="77777777" w:rsidR="00E05E1E" w:rsidRDefault="00000000">
      <w:pPr>
        <w:spacing w:after="100" w:line="260" w:lineRule="auto"/>
        <w:ind w:left="340" w:hanging="340"/>
      </w:pPr>
      <w:r>
        <w:rPr>
          <w:sz w:val="20"/>
          <w:szCs w:val="20"/>
        </w:rPr>
        <w:t>11. Brasil. Agência Nacional de Vigilância Sanitária. Resolução da Diretoria Colegiada RDC nº 751, de 15 de setembro de 2022. Diário Oficial da União; 2022.</w:t>
      </w:r>
    </w:p>
    <w:p w14:paraId="2F8667BF" w14:textId="77777777" w:rsidR="00E05E1E" w:rsidRDefault="00000000">
      <w:pPr>
        <w:spacing w:after="100" w:line="260" w:lineRule="auto"/>
        <w:ind w:left="340" w:hanging="340"/>
      </w:pPr>
      <w:r>
        <w:rPr>
          <w:sz w:val="20"/>
          <w:szCs w:val="20"/>
        </w:rPr>
        <w:t>12. Associação Brasileira de Normas Técnicas. ABNT NBR IEC 62304: Software de dispositivo médico — Processos de ciclo de vida de software. Rio de Janeiro: ABNT; 2020.</w:t>
      </w:r>
    </w:p>
    <w:sectPr w:rsidR="00E05E1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C0AE2" w14:textId="77777777" w:rsidR="00DD5F7A" w:rsidRDefault="00DD5F7A">
      <w:pPr>
        <w:spacing w:after="0" w:line="240" w:lineRule="auto"/>
      </w:pPr>
      <w:r>
        <w:separator/>
      </w:r>
    </w:p>
  </w:endnote>
  <w:endnote w:type="continuationSeparator" w:id="0">
    <w:p w14:paraId="3ECC6A8F" w14:textId="77777777" w:rsidR="00DD5F7A" w:rsidRDefault="00DD5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67A47" w14:textId="77777777" w:rsidR="00E05E1E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242D2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242D2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7C591" w14:textId="77777777" w:rsidR="00DD5F7A" w:rsidRDefault="00DD5F7A">
      <w:pPr>
        <w:spacing w:after="0" w:line="240" w:lineRule="auto"/>
      </w:pPr>
      <w:r>
        <w:separator/>
      </w:r>
    </w:p>
  </w:footnote>
  <w:footnote w:type="continuationSeparator" w:id="0">
    <w:p w14:paraId="1B00F9E8" w14:textId="77777777" w:rsidR="00DD5F7A" w:rsidRDefault="00DD5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A133F" w14:textId="77777777" w:rsidR="00E05E1E" w:rsidRDefault="00000000">
    <w:pPr>
      <w:shd w:val="clear" w:color="auto" w:fill="000000"/>
      <w:spacing w:after="0" w:line="300" w:lineRule="auto"/>
      <w:ind w:left="80" w:right="80"/>
    </w:pPr>
    <w:r>
      <w:rPr>
        <w:b/>
        <w:bCs/>
        <w:color w:val="FFFFFF"/>
        <w:sz w:val="20"/>
        <w:szCs w:val="20"/>
      </w:rPr>
      <w:t>HXBS TECNOLOGIA LTDA.</w:t>
    </w:r>
    <w:r>
      <w:rPr>
        <w:color w:val="FFFFFF"/>
        <w:sz w:val="20"/>
        <w:szCs w:val="20"/>
      </w:rPr>
      <w:t xml:space="preserve">     |     </w:t>
    </w:r>
    <w:proofErr w:type="spellStart"/>
    <w:proofErr w:type="gramStart"/>
    <w:r>
      <w:rPr>
        <w:color w:val="FFFFFF"/>
        <w:sz w:val="20"/>
        <w:szCs w:val="20"/>
      </w:rPr>
      <w:t>LithosRad</w:t>
    </w:r>
    <w:proofErr w:type="spellEnd"/>
    <w:r>
      <w:rPr>
        <w:color w:val="FFFFFF"/>
        <w:sz w:val="20"/>
        <w:szCs w:val="20"/>
      </w:rPr>
      <w:t xml:space="preserve">  —</w:t>
    </w:r>
    <w:proofErr w:type="gramEnd"/>
    <w:r>
      <w:rPr>
        <w:color w:val="FFFFFF"/>
        <w:sz w:val="20"/>
        <w:szCs w:val="20"/>
      </w:rPr>
      <w:t xml:space="preserve">  Protocolo de Validação Analítica </w:t>
    </w:r>
    <w:proofErr w:type="gramStart"/>
    <w:r>
      <w:rPr>
        <w:color w:val="FFFFFF"/>
        <w:sz w:val="20"/>
        <w:szCs w:val="20"/>
      </w:rPr>
      <w:t>Externa  —</w:t>
    </w:r>
    <w:proofErr w:type="gramEnd"/>
    <w:r>
      <w:rPr>
        <w:color w:val="FFFFFF"/>
        <w:sz w:val="20"/>
        <w:szCs w:val="20"/>
      </w:rPr>
      <w:t xml:space="preserve">  VAE-</w:t>
    </w:r>
    <w:proofErr w:type="gramStart"/>
    <w:r>
      <w:rPr>
        <w:color w:val="FFFFFF"/>
        <w:sz w:val="20"/>
        <w:szCs w:val="20"/>
      </w:rPr>
      <w:t>001  v2.0</w:t>
    </w:r>
    <w:proofErr w:type="gramEnd"/>
  </w:p>
  <w:p w14:paraId="11111B8D" w14:textId="77777777" w:rsidR="00E05E1E" w:rsidRDefault="00E05E1E">
    <w:pPr>
      <w:spacing w:after="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2000"/>
    <w:multiLevelType w:val="hybridMultilevel"/>
    <w:tmpl w:val="B6C4FAFE"/>
    <w:lvl w:ilvl="0" w:tplc="ACA6D8EE">
      <w:start w:val="1"/>
      <w:numFmt w:val="bullet"/>
      <w:lvlText w:val="●"/>
      <w:lvlJc w:val="left"/>
      <w:pPr>
        <w:ind w:left="720" w:hanging="360"/>
      </w:pPr>
    </w:lvl>
    <w:lvl w:ilvl="1" w:tplc="9AA68092">
      <w:start w:val="1"/>
      <w:numFmt w:val="bullet"/>
      <w:lvlText w:val="○"/>
      <w:lvlJc w:val="left"/>
      <w:pPr>
        <w:ind w:left="1440" w:hanging="360"/>
      </w:pPr>
    </w:lvl>
    <w:lvl w:ilvl="2" w:tplc="FE00DD24">
      <w:start w:val="1"/>
      <w:numFmt w:val="bullet"/>
      <w:lvlText w:val="■"/>
      <w:lvlJc w:val="left"/>
      <w:pPr>
        <w:ind w:left="2160" w:hanging="360"/>
      </w:pPr>
    </w:lvl>
    <w:lvl w:ilvl="3" w:tplc="389C0B9E">
      <w:start w:val="1"/>
      <w:numFmt w:val="bullet"/>
      <w:lvlText w:val="●"/>
      <w:lvlJc w:val="left"/>
      <w:pPr>
        <w:ind w:left="2880" w:hanging="360"/>
      </w:pPr>
    </w:lvl>
    <w:lvl w:ilvl="4" w:tplc="263AFF2A">
      <w:start w:val="1"/>
      <w:numFmt w:val="bullet"/>
      <w:lvlText w:val="○"/>
      <w:lvlJc w:val="left"/>
      <w:pPr>
        <w:ind w:left="3600" w:hanging="360"/>
      </w:pPr>
    </w:lvl>
    <w:lvl w:ilvl="5" w:tplc="7E1C6360">
      <w:start w:val="1"/>
      <w:numFmt w:val="bullet"/>
      <w:lvlText w:val="■"/>
      <w:lvlJc w:val="left"/>
      <w:pPr>
        <w:ind w:left="4320" w:hanging="360"/>
      </w:pPr>
    </w:lvl>
    <w:lvl w:ilvl="6" w:tplc="CE16AE6E">
      <w:start w:val="1"/>
      <w:numFmt w:val="bullet"/>
      <w:lvlText w:val="●"/>
      <w:lvlJc w:val="left"/>
      <w:pPr>
        <w:ind w:left="5040" w:hanging="360"/>
      </w:pPr>
    </w:lvl>
    <w:lvl w:ilvl="7" w:tplc="3EF82DD0">
      <w:start w:val="1"/>
      <w:numFmt w:val="bullet"/>
      <w:lvlText w:val="●"/>
      <w:lvlJc w:val="left"/>
      <w:pPr>
        <w:ind w:left="5760" w:hanging="360"/>
      </w:pPr>
    </w:lvl>
    <w:lvl w:ilvl="8" w:tplc="001476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6B5D80"/>
    <w:multiLevelType w:val="hybridMultilevel"/>
    <w:tmpl w:val="7E9CBE3C"/>
    <w:lvl w:ilvl="0" w:tplc="BBB246DC">
      <w:start w:val="1"/>
      <w:numFmt w:val="bullet"/>
      <w:lvlText w:val="•"/>
      <w:lvlJc w:val="left"/>
      <w:pPr>
        <w:ind w:left="420" w:hanging="200"/>
      </w:pPr>
    </w:lvl>
    <w:lvl w:ilvl="1" w:tplc="EC003C96">
      <w:numFmt w:val="decimal"/>
      <w:lvlText w:val=""/>
      <w:lvlJc w:val="left"/>
    </w:lvl>
    <w:lvl w:ilvl="2" w:tplc="9D0EC130">
      <w:numFmt w:val="decimal"/>
      <w:lvlText w:val=""/>
      <w:lvlJc w:val="left"/>
    </w:lvl>
    <w:lvl w:ilvl="3" w:tplc="0A0A9986">
      <w:numFmt w:val="decimal"/>
      <w:lvlText w:val=""/>
      <w:lvlJc w:val="left"/>
    </w:lvl>
    <w:lvl w:ilvl="4" w:tplc="323ED2FE">
      <w:numFmt w:val="decimal"/>
      <w:lvlText w:val=""/>
      <w:lvlJc w:val="left"/>
    </w:lvl>
    <w:lvl w:ilvl="5" w:tplc="F5F4267C">
      <w:numFmt w:val="decimal"/>
      <w:lvlText w:val=""/>
      <w:lvlJc w:val="left"/>
    </w:lvl>
    <w:lvl w:ilvl="6" w:tplc="B344A7BA">
      <w:numFmt w:val="decimal"/>
      <w:lvlText w:val=""/>
      <w:lvlJc w:val="left"/>
    </w:lvl>
    <w:lvl w:ilvl="7" w:tplc="24FAE39A">
      <w:numFmt w:val="decimal"/>
      <w:lvlText w:val=""/>
      <w:lvlJc w:val="left"/>
    </w:lvl>
    <w:lvl w:ilvl="8" w:tplc="36549CF6">
      <w:numFmt w:val="decimal"/>
      <w:lvlText w:val=""/>
      <w:lvlJc w:val="left"/>
    </w:lvl>
  </w:abstractNum>
  <w:num w:numId="1" w16cid:durableId="2017803733">
    <w:abstractNumId w:val="0"/>
    <w:lvlOverride w:ilvl="0">
      <w:startOverride w:val="1"/>
    </w:lvlOverride>
  </w:num>
  <w:num w:numId="2" w16cid:durableId="8906564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E1E"/>
    <w:rsid w:val="00067A5C"/>
    <w:rsid w:val="008242D2"/>
    <w:rsid w:val="00BD11FC"/>
    <w:rsid w:val="00DD5F7A"/>
    <w:rsid w:val="00E0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EB591"/>
  <w15:docId w15:val="{B2D1126B-9729-47C5-A528-DEE7AA0E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3818</Words>
  <Characters>20622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Artur Montemezzo</cp:lastModifiedBy>
  <cp:revision>2</cp:revision>
  <dcterms:created xsi:type="dcterms:W3CDTF">2026-07-12T17:56:00Z</dcterms:created>
  <dcterms:modified xsi:type="dcterms:W3CDTF">2026-07-12T18:21:00Z</dcterms:modified>
</cp:coreProperties>
</file>