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Using</w:t>
      </w:r>
      <w:r>
        <w:t xml:space="preserve"> </w:t>
      </w:r>
      <w:r>
        <w:t xml:space="preserve">the</w:t>
      </w:r>
      <w:r>
        <w:t xml:space="preserve"> </w:t>
      </w:r>
      <w:r>
        <w:t xml:space="preserve">glossr</w:t>
      </w:r>
      <w:r>
        <w:t xml:space="preserve"> </w:t>
      </w:r>
      <w:r>
        <w:t xml:space="preserve">package</w:t>
      </w:r>
    </w:p>
    <w:p>
      <w:pPr>
        <w:pStyle w:val="Author"/>
      </w:pPr>
      <w:r>
        <w:t xml:space="preserve">Mariana</w:t>
      </w:r>
      <w:r>
        <w:t xml:space="preserve"> </w:t>
      </w:r>
      <w:r>
        <w:t xml:space="preserve">Montes</w:t>
      </w:r>
    </w:p>
    <w:p>
      <w:pPr>
        <w:pStyle w:val="Date"/>
      </w:pPr>
      <w:r>
        <w:t xml:space="preserve">2022-05-09</w:t>
      </w:r>
    </w:p>
    <w:bookmarkStart w:id="26" w:name="introduction"/>
    <w:p>
      <w:pPr>
        <w:pStyle w:val="Titre1"/>
      </w:pPr>
      <w:r>
        <w:t xml:space="preserve">Introduction</w:t>
      </w:r>
    </w:p>
    <w:p>
      <w:pPr>
        <w:pStyle w:val="FirstParagraph"/>
      </w:pPr>
      <w:r>
        <w:t xml:space="preserve">The {glossr} package offers useful functions to recreate interlinear glosses in R Markdown texts.</w:t>
      </w:r>
      <w:r>
        <w:t xml:space="preserve"> </w:t>
      </w:r>
      <w:r>
        <w:t xml:space="preserve">The immediate solution for a</w:t>
      </w:r>
      <w:r>
        <w:t xml:space="preserve"> </w:t>
      </w:r>
      <m:oMath>
        <m:r>
          <m:t>L</m:t>
        </m:r>
        <m:r>
          <m:t>a</m:t>
        </m:r>
        <m:r>
          <m:t>T</m:t>
        </m:r>
        <m:r>
          <m:t>e</m:t>
        </m:r>
        <m:r>
          <m:t>X</m:t>
        </m:r>
      </m:oMath>
      <w:r>
        <w:t xml:space="preserve"> </w:t>
      </w:r>
      <w:r>
        <w:t xml:space="preserve">output is to use a specific library, such as {gb4e} (the one I knew when this package was born) or {expex} (the one this package uses now). If PDF output is enough for you, you can still use this package to automatically print them in an R-chunk, minimizing typos</w:t>
      </w:r>
      <w:r>
        <w:rPr>
          <w:rStyle w:val="Appelnotedebasdep"/>
        </w:rPr>
        <w:footnoteReference w:id="20"/>
      </w:r>
      <w:r>
        <w:t xml:space="preserve">, and even generate them automatically from a dataframe with your examples!</w:t>
      </w:r>
      <w:r>
        <w:t xml:space="preserve"> </w:t>
      </w:r>
      <w:r>
        <w:t xml:space="preserve">But chances are, PDF is not enough for you, and you would also like a nice rendering (or at least</w:t>
      </w:r>
      <w:r>
        <w:t xml:space="preserve"> </w:t>
      </w:r>
      <w:r>
        <w:rPr>
          <w:iCs/>
          <w:i/>
        </w:rPr>
        <w:t xml:space="preserve">some</w:t>
      </w:r>
      <w:r>
        <w:t xml:space="preserve"> </w:t>
      </w:r>
      <w:r>
        <w:t xml:space="preserve">rendering) of your interlinear glosses in HTML as well… and why not, MS Word! This offers some challenges, because you would need to figure out</w:t>
      </w:r>
      <w:r>
        <w:t xml:space="preserve"> </w:t>
      </w:r>
      <w:r>
        <w:rPr>
          <w:iCs/>
          <w:i/>
        </w:rPr>
        <w:t xml:space="preserve">how</w:t>
      </w:r>
      <w:r>
        <w:t xml:space="preserve"> </w:t>
      </w:r>
      <w:r>
        <w:t xml:space="preserve">to render them to begin with, and neither the way to print them nor the way to reference them are compatible across output formats.</w:t>
      </w:r>
      <w:r>
        <w:t xml:space="preserve"> </w:t>
      </w:r>
      <w:r>
        <w:t xml:space="preserve">I took that pain and packaged it so you don’t need to feel it.</w:t>
      </w:r>
    </w:p>
    <w:p>
      <w:pPr>
        <w:pStyle w:val="Corpsdetexte"/>
      </w:pPr>
      <w:r>
        <w:t xml:space="preserve">You can start using</w:t>
      </w:r>
      <w:r>
        <w:t xml:space="preserve"> </w:t>
      </w:r>
      <w:r>
        <w:rPr>
          <w:rStyle w:val="VerbatimChar"/>
        </w:rPr>
        <w:t xml:space="preserve">glossr</w:t>
      </w:r>
      <w:r>
        <w:t xml:space="preserve"> </w:t>
      </w:r>
      <w:r>
        <w:t xml:space="preserve">in an R Markdown file by calling the library and then</w:t>
      </w:r>
      <w:r>
        <w:t xml:space="preserve"> </w:t>
      </w:r>
      <w:r>
        <w:rPr>
          <w:rStyle w:val="VerbatimChar"/>
        </w:rPr>
        <w:t xml:space="preserve">use_glossr()</w:t>
      </w:r>
      <w:r>
        <w:t xml:space="preserve"> </w:t>
      </w:r>
      <w:r>
        <w:t xml:space="preserve">to activate some background stuff. Mainly, this function informs all the other functions whether you are using</w:t>
      </w:r>
      <w:r>
        <w:t xml:space="preserve"> </w:t>
      </w:r>
      <m:oMath>
        <m:r>
          <m:t>L</m:t>
        </m:r>
        <m:r>
          <m:t>a</m:t>
        </m:r>
        <m:r>
          <m:t>T</m:t>
        </m:r>
        <m:r>
          <m:t>e</m:t>
        </m:r>
        <m:r>
          <m:t>X</m:t>
        </m:r>
      </m:oMath>
      <w:r>
        <w:t xml:space="preserve">, HTML</w:t>
      </w:r>
      <w:r>
        <w:rPr>
          <w:rStyle w:val="Appelnotedebasdep"/>
        </w:rPr>
        <w:footnoteReference w:id="21"/>
      </w:r>
      <w:r>
        <w:t xml:space="preserve"> </w:t>
      </w:r>
      <w:r>
        <w:t xml:space="preserve">or neither, in which it assumes you have Word output. This vignette has been run in all three formats by changing the output format to</w:t>
      </w:r>
      <w:r>
        <w:t xml:space="preserve"> </w:t>
      </w:r>
      <w:r>
        <w:rPr>
          <w:rStyle w:val="VerbatimChar"/>
        </w:rPr>
        <w:t xml:space="preserve">bookdown::pdf_document2</w:t>
      </w:r>
      <w:r>
        <w:t xml:space="preserve">, which renders</w:t>
      </w:r>
      <w:r>
        <w:t xml:space="preserve"> </w:t>
      </w:r>
      <w:hyperlink r:id="rId23">
        <w:r>
          <w:rPr>
            <w:rStyle w:val="Lienhypertexte"/>
          </w:rPr>
          <w:t xml:space="preserve">a PDF file</w:t>
        </w:r>
      </w:hyperlink>
      <w:r>
        <w:t xml:space="preserve">;</w:t>
      </w:r>
      <w:r>
        <w:t xml:space="preserve"> </w:t>
      </w:r>
      <w:r>
        <w:rPr>
          <w:rStyle w:val="VerbatimChar"/>
        </w:rPr>
        <w:t xml:space="preserve">bookdown::html_document2</w:t>
      </w:r>
      <w:r>
        <w:t xml:space="preserve">, which renders</w:t>
      </w:r>
      <w:r>
        <w:t xml:space="preserve"> </w:t>
      </w:r>
      <w:hyperlink r:id="rId24">
        <w:r>
          <w:rPr>
            <w:rStyle w:val="Lienhypertexte"/>
          </w:rPr>
          <w:t xml:space="preserve">an HTML file</w:t>
        </w:r>
      </w:hyperlink>
      <w:r>
        <w:t xml:space="preserve">;</w:t>
      </w:r>
      <w:r>
        <w:t xml:space="preserve"> </w:t>
      </w:r>
      <w:r>
        <w:t xml:space="preserve">and</w:t>
      </w:r>
      <w:r>
        <w:t xml:space="preserve"> </w:t>
      </w:r>
      <w:r>
        <w:rPr>
          <w:rStyle w:val="VerbatimChar"/>
        </w:rPr>
        <w:t xml:space="preserve">officedown::rdocx_document</w:t>
      </w:r>
      <w:r>
        <w:t xml:space="preserve">, which renders</w:t>
      </w:r>
      <w:r>
        <w:t xml:space="preserve"> </w:t>
      </w:r>
      <w:hyperlink r:id="rId25">
        <w:r>
          <w:rPr>
            <w:rStyle w:val="Lienhypertexte"/>
          </w:rPr>
          <w:t xml:space="preserve">an MS Word file</w:t>
        </w:r>
      </w:hyperlink>
      <w:r>
        <w:t xml:space="preserve"> </w:t>
      </w:r>
      <w:r>
        <w:t xml:space="preserve">(Xie 2022; Gohel and Ross 2022)</w:t>
      </w:r>
      <w:r>
        <w:t xml:space="preserve">.</w:t>
      </w:r>
    </w:p>
    <w:p>
      <w:pPr>
        <w:pStyle w:val="SourceCode"/>
      </w:pPr>
      <w:r>
        <w:rPr>
          <w:rStyle w:val="CommentTok"/>
        </w:rPr>
        <w:t xml:space="preserve"># library(glossr)</w:t>
      </w:r>
    </w:p>
    <w:p>
      <w:pPr>
        <w:pStyle w:val="SourceCode"/>
      </w:pPr>
      <w:r>
        <w:rPr>
          <w:rStyle w:val="FunctionTok"/>
        </w:rPr>
        <w:t xml:space="preserve">use_glossr</w:t>
      </w:r>
      <w:r>
        <w:rPr>
          <w:rStyle w:val="NormalTok"/>
        </w:rPr>
        <w:t xml:space="preserve">(</w:t>
      </w:r>
      <w:r>
        <w:rPr>
          <w:rStyle w:val="AttributeTok"/>
        </w:rPr>
        <w:t xml:space="preserve">styling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first =</w:t>
      </w:r>
      <w:r>
        <w:rPr>
          <w:rStyle w:val="NormalTok"/>
        </w:rPr>
        <w:t xml:space="preserve"> </w:t>
      </w:r>
      <w:r>
        <w:rPr>
          <w:rStyle w:val="StringTok"/>
        </w:rPr>
        <w:t xml:space="preserve">"i"</w:t>
      </w:r>
      <w:r>
        <w:br/>
      </w:r>
      <w:r>
        <w:rPr>
          <w:rStyle w:val="NormalTok"/>
        </w:rPr>
        <w:t xml:space="preserve">))</w:t>
      </w:r>
      <w:r>
        <w:br/>
      </w:r>
      <w:r>
        <w:rPr>
          <w:rStyle w:val="CommentTok"/>
        </w:rPr>
        <w:t xml:space="preserve">#&gt; Setting up the `word` engine.</w:t>
      </w:r>
    </w:p>
    <w:bookmarkEnd w:id="26"/>
    <w:bookmarkStart w:id="27" w:name="basic-usage"/>
    <w:p>
      <w:pPr>
        <w:pStyle w:val="Titre1"/>
      </w:pPr>
      <w:r>
        <w:t xml:space="preserve">Basic usage</w:t>
      </w:r>
    </w:p>
    <w:p>
      <w:pPr>
        <w:pStyle w:val="FirstParagraph"/>
      </w:pPr>
      <w:r>
        <w:t xml:space="preserve">When you want to include an example, create a gloss with</w:t>
      </w:r>
      <w:r>
        <w:t xml:space="preserve"> </w:t>
      </w:r>
      <w:r>
        <w:rPr>
          <w:rStyle w:val="VerbatimChar"/>
        </w:rPr>
        <w:t xml:space="preserve">as_gloss()</w:t>
      </w:r>
      <w:r>
        <w:t xml:space="preserve"> </w:t>
      </w:r>
      <w:r>
        <w:t xml:space="preserve">and call it inside a normal chunk. There are currently four named, optional arguments that will be treated specially:</w:t>
      </w:r>
    </w:p>
    <w:p>
      <w:pPr>
        <w:numPr>
          <w:ilvl w:val="0"/>
          <w:numId w:val="1001"/>
        </w:numPr>
      </w:pPr>
      <w:r>
        <w:rPr>
          <w:rStyle w:val="VerbatimChar"/>
        </w:rPr>
        <w:t xml:space="preserve">label</w:t>
      </w:r>
      <w:r>
        <w:t xml:space="preserve"> </w:t>
      </w:r>
      <w:r>
        <w:t xml:space="preserve">will be interpreted as the label for cross-references with some;</w:t>
      </w:r>
    </w:p>
    <w:p>
      <w:pPr>
        <w:numPr>
          <w:ilvl w:val="0"/>
          <w:numId w:val="1001"/>
        </w:numPr>
      </w:pPr>
      <w:r>
        <w:rPr>
          <w:rStyle w:val="VerbatimChar"/>
        </w:rPr>
        <w:t xml:space="preserve">source</w:t>
      </w:r>
      <w:r>
        <w:t xml:space="preserve"> </w:t>
      </w:r>
      <w:r>
        <w:t xml:space="preserve">will be interpreted as text for a non-aligned first line, e.g. a reference to the source of your example;</w:t>
      </w:r>
    </w:p>
    <w:p>
      <w:pPr>
        <w:numPr>
          <w:ilvl w:val="0"/>
          <w:numId w:val="1001"/>
        </w:numPr>
      </w:pPr>
      <w:r>
        <w:rPr>
          <w:rStyle w:val="VerbatimChar"/>
        </w:rPr>
        <w:t xml:space="preserve">translation</w:t>
      </w:r>
      <w:r>
        <w:t xml:space="preserve"> </w:t>
      </w:r>
      <w:r>
        <w:t xml:space="preserve">will be interpreted as text for a free translation;</w:t>
      </w:r>
    </w:p>
    <w:p>
      <w:pPr>
        <w:numPr>
          <w:ilvl w:val="0"/>
          <w:numId w:val="1001"/>
        </w:numPr>
      </w:pPr>
      <w:r>
        <w:rPr>
          <w:rStyle w:val="VerbatimChar"/>
        </w:rPr>
        <w:t xml:space="preserve">trans_glosses</w:t>
      </w:r>
      <w:r>
        <w:t xml:space="preserve"> </w:t>
      </w:r>
      <w:r>
        <w:t xml:space="preserve">indicates what character should surround the translation, by default</w:t>
      </w:r>
      <w:r>
        <w:t xml:space="preserve"> </w:t>
      </w:r>
      <w:r>
        <w:rPr>
          <w:rStyle w:val="VerbatimChar"/>
        </w:rPr>
        <w:t xml:space="preserve">"</w:t>
      </w:r>
      <w:r>
        <w:t xml:space="preserve">. Coming soon: a vignette showing this.</w:t>
      </w:r>
    </w:p>
    <w:p>
      <w:pPr>
        <w:pStyle w:val="FirstParagraph"/>
      </w:pPr>
      <w:r>
        <w:t xml:space="preserve">All other values will be interpreted as lines to be aligned and reproduced in the order given, but only up to 3 lines are allowed.</w:t>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StringTok"/>
        </w:rPr>
        <w:t xml:space="preserve">"Hace calor/frío"</w:t>
      </w:r>
      <w:r>
        <w:rPr>
          <w:rStyle w:val="NormalTok"/>
        </w:rPr>
        <w:t xml:space="preserve">,</w:t>
      </w:r>
      <w:r>
        <w:br/>
      </w:r>
      <w:r>
        <w:rPr>
          <w:rStyle w:val="NormalTok"/>
        </w:rPr>
        <w:t xml:space="preserve">  </w:t>
      </w:r>
      <w:r>
        <w:rPr>
          <w:rStyle w:val="StringTok"/>
        </w:rPr>
        <w:t xml:space="preserve">"make-3SG-PRS heat/cold-N-A"</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"'It is hot/cold'"</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"my-label"</w:t>
      </w:r>
      <w:r>
        <w:br/>
      </w:r>
      <w:r>
        <w:rPr>
          <w:rStyle w:val="NormalTok"/>
        </w:rPr>
        <w:t xml:space="preserve">)</w:t>
      </w:r>
      <w:r>
        <w:br/>
      </w:r>
      <w:r>
        <w:rPr>
          <w:rStyle w:val="NormalTok"/>
        </w:rPr>
        <w:t xml:space="preserve">my_gloss</w:t>
      </w:r>
    </w:p>
    <w:p>
      <w:pPr>
        <w:numPr>
          <w:ilvl w:val="0"/>
          <w:numId w:val="1002"/>
        </w:numPr>
        <w:pStyle w:val="Compact"/>
      </w:pPr>
      <w:r>
        <w:rPr>
          <w:rFonts w:ascii="Arial" w:hAnsi="Arial" w:eastAsia="Arial" w:cs="Arial"/>
          <w:i w:val="false"/>
          <w:b w:val="true"/>
          <w:u w:val="none"/>
          <w:sz w:val="20"/>
          <w:szCs w:val="20"/>
          <w:color w:val="000000"/>
        </w:rPr>
        <w:t xml:space="preserve">_</w:t>
      </w:r>
    </w:p>
    <w:tbl xmlns:w14="http://schemas.microsoft.com/office/word/2010/wordml">
      <w:tblPr>
        <w:tblLayout w:type="fixed"/>
        <w:jc w:val="start"/>
        <w:tblLook w:firstRow="1" w:lastRow="0" w:firstColumn="0" w:lastColumn="0" w:noHBand="0" w:noVBand="1"/>
      </w:tblPr>
      <w:tblGrid>
        <w:gridCol w:w="2521"/>
        <w:gridCol w:w="1489"/>
      </w:tblGrid>
      <w:tr>
        <w:trPr>
          <w:cantSplit/>
          <w:trHeight w:val="307"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i/>
                <w:sz w:val="22"/>
                <w:szCs w:val="22"/>
                <w:color w:val="000000"/>
              </w:rPr>
              <w:t xml:space="preserve">Hace</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calor/frío</w:t>
            </w:r>
          </w:p>
        </w:tc>
      </w:tr>
      <w:tr>
        <w:trPr>
          <w:cantSplit/>
          <w:trHeight w:val="307"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make-3SG-PRS</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heat/cold-N-A</w:t>
            </w:r>
          </w:p>
        </w:tc>
      </w:tr>
    </w:tbl>
    <w:tbl xmlns:w14="http://schemas.microsoft.com/office/word/2010/wordml">
      <w:tblPr>
        <w:tblLayout w:type="fixed"/>
        <w:jc w:val="start"/>
        <w:tblLook w:firstRow="1" w:lastRow="0" w:firstColumn="0" w:lastColumn="0" w:noHBand="0" w:noVBand="1"/>
      </w:tblPr>
      <w:tblGrid>
        <w:gridCol w:w="2358"/>
      </w:tblGrid>
      <w:tr>
        <w:trPr>
          <w:cantSplit/>
          <w:trHeight w:val="307"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"'It is hot/cold'"</w:t>
            </w:r>
          </w:p>
        </w:tc>
      </w:tr>
    </w:tbl>
    <w:p>
      <w:pPr>
        <w:pStyle w:val="FirstParagraph"/>
      </w:pPr>
      <w:r>
        <w:t xml:space="preserve">The label given to</w:t>
      </w:r>
      <w:r>
        <w:t xml:space="preserve"> </w:t>
      </w:r>
      <w:r>
        <w:rPr>
          <w:rStyle w:val="VerbatimChar"/>
        </w:rPr>
        <w:t xml:space="preserve">as_gloss()</w:t>
      </w:r>
      <w:r>
        <w:t xml:space="preserve"> </w:t>
      </w:r>
      <w:r>
        <w:t xml:space="preserve">allows you to cross-reference the example: in PDF this is</w:t>
      </w:r>
      <w:r>
        <w:t xml:space="preserve"> </w:t>
      </w:r>
      <w:r>
        <w:rPr>
          <w:rStyle w:val="VerbatimChar"/>
        </w:rPr>
        <w:t xml:space="preserve">example (</w:t>
      </w:r>
      <w:r>
        <w:t xml:space="preserve"> </w:t>
      </w:r>
      <w:r>
        <w:t xml:space="preserve">REF my-label</w:t>
      </w:r>
      <w:r>
        <w:t xml:space="preserve"> </w:t>
      </w:r>
      <w:r>
        <w:t xml:space="preserve">/w:instrText&gt;</w:t>
      </w:r>
      <w:r>
        <w:rPr>
          <w:rStyle w:val="VerbatimChar"/>
        </w:rPr>
        <w:t xml:space="preserve">{=openxml})</w:t>
      </w:r>
      <w:r>
        <w:t xml:space="preserve">, whereas in HTML and Word this is</w:t>
      </w:r>
      <w:r>
        <w:t xml:space="preserve"> </w:t>
      </w:r>
      <w:r>
        <w:rPr>
          <w:rStyle w:val="VerbatimChar"/>
        </w:rPr>
        <w:t xml:space="preserve">example (@my-label)</w:t>
      </w:r>
      <w:r>
        <w:t xml:space="preserve">. What should YOU do?</w:t>
      </w:r>
      <w:r>
        <w:t xml:space="preserve"> </w:t>
      </w:r>
      <w:r>
        <w:rPr>
          <w:rStyle w:val="VerbatimChar"/>
        </w:rPr>
        <w:t xml:space="preserve">gloss()</w:t>
      </w:r>
      <w:r>
        <w:t xml:space="preserve"> </w:t>
      </w:r>
      <w:r>
        <w:t xml:space="preserve">can be used inline to generate a reference for either PDF or HTML, depending on the output of your file: (1) in this case.</w:t>
      </w:r>
    </w:p>
    <w:p>
      <w:pPr>
        <w:pStyle w:val="Corpsdetexte"/>
      </w:pPr>
      <w:r>
        <w:t xml:space="preserve">If you have many examples, you might want to keep them in their own file, if you don’t have them like that already.</w:t>
      </w:r>
      <w:r>
        <w:t xml:space="preserve"> </w:t>
      </w:r>
      <w:r>
        <w:rPr>
          <w:rStyle w:val="VerbatimChar"/>
        </w:rPr>
        <w:t xml:space="preserve">glossr</w:t>
      </w:r>
      <w:r>
        <w:t xml:space="preserve"> </w:t>
      </w:r>
      <w:r>
        <w:t xml:space="preserve">offers a small dataset for testing, called</w:t>
      </w:r>
      <w:r>
        <w:t xml:space="preserve"> </w:t>
      </w:r>
      <w:r>
        <w:rPr>
          <w:rStyle w:val="VerbatimChar"/>
        </w:rPr>
        <w:t xml:space="preserve">data(glosses)</w:t>
      </w:r>
      <w:r>
        <w:t xml:space="preserve">.</w:t>
      </w:r>
    </w:p>
    <w:p>
      <w:pPr>
        <w:pStyle w:val="SourceCode"/>
      </w:pPr>
      <w:r>
        <w:rPr>
          <w:rStyle w:val="FunctionTok"/>
        </w:rPr>
        <w:t xml:space="preserve">library</w:t>
      </w:r>
      <w:r>
        <w:rPr>
          <w:rStyle w:val="NormalTok"/>
        </w:rPr>
        <w:t xml:space="preserve">(magrittr)</w:t>
      </w:r>
      <w:r>
        <w:br/>
      </w:r>
      <w:r>
        <w:rPr>
          <w:rStyle w:val="FunctionTok"/>
        </w:rPr>
        <w:t xml:space="preserve">library</w:t>
      </w:r>
      <w:r>
        <w:rPr>
          <w:rStyle w:val="NormalTok"/>
        </w:rPr>
        <w:t xml:space="preserve">(dplyr) </w:t>
      </w:r>
      <w:r>
        <w:rPr>
          <w:rStyle w:val="CommentTok"/>
        </w:rPr>
        <w:t xml:space="preserve"># for select() and filter()</w:t>
      </w:r>
      <w:r>
        <w:br/>
      </w:r>
      <w:r>
        <w:rPr>
          <w:rStyle w:val="FunctionTok"/>
        </w:rPr>
        <w:t xml:space="preserve">data</w:t>
      </w:r>
      <w:r>
        <w:rPr>
          <w:rStyle w:val="NormalTok"/>
        </w:rPr>
        <w:t xml:space="preserve">(glosses)</w:t>
      </w:r>
      <w:r>
        <w:br/>
      </w:r>
      <w:r>
        <w:rPr>
          <w:rStyle w:val="NormalTok"/>
        </w:rPr>
        <w:t xml:space="preserve">glosses </w:t>
      </w:r>
      <w:r>
        <w:rPr>
          <w:rStyle w:val="OtherTok"/>
        </w:rPr>
        <w:t xml:space="preserve">&lt;-</w:t>
      </w:r>
      <w:r>
        <w:rPr>
          <w:rStyle w:val="NormalTok"/>
        </w:rPr>
        <w:t xml:space="preserve"> glosses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(original, parsed, translation, label, source)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source, </w:t>
      </w:r>
      <w:r>
        <w:rPr>
          <w:rStyle w:val="StringTok"/>
        </w:rPr>
        <w:t xml:space="preserve">")"</w:t>
      </w:r>
      <w:r>
        <w:rPr>
          <w:rStyle w:val="NormalTok"/>
        </w:rPr>
        <w:t xml:space="preserve">))</w:t>
      </w:r>
      <w:r>
        <w:br/>
      </w:r>
      <w:r>
        <w:rPr>
          <w:rStyle w:val="NormalTok"/>
        </w:rPr>
        <w:t xml:space="preserve">glosses</w:t>
      </w:r>
      <w:r>
        <w:br/>
      </w:r>
      <w:r>
        <w:rPr>
          <w:rStyle w:val="CommentTok"/>
        </w:rPr>
        <w:t xml:space="preserve">#&gt; # A tibble: 5 × 5</w:t>
      </w:r>
      <w:r>
        <w:br/>
      </w:r>
      <w:r>
        <w:rPr>
          <w:rStyle w:val="CommentTok"/>
        </w:rPr>
        <w:t xml:space="preserve">#&gt;   original                                       parsed translation label source</w:t>
      </w:r>
      <w:r>
        <w:br/>
      </w:r>
      <w:r>
        <w:rPr>
          <w:rStyle w:val="CommentTok"/>
        </w:rPr>
        <w:t xml:space="preserve">#&gt;   &lt;chr&gt;                                          &lt;chr&gt;  &lt;chr&gt;       &lt;chr&gt; &lt;chr&gt; </w:t>
      </w:r>
      <w:r>
        <w:br/>
      </w:r>
      <w:r>
        <w:rPr>
          <w:rStyle w:val="CommentTok"/>
        </w:rPr>
        <w:t xml:space="preserve">#&gt; 1 Mér er heitt/kalt                              "\\te… I am hot/c… feel… (Eina…</w:t>
      </w:r>
      <w:r>
        <w:br/>
      </w:r>
      <w:r>
        <w:rPr>
          <w:rStyle w:val="CommentTok"/>
        </w:rPr>
        <w:t xml:space="preserve">#&gt; 2 Hace calor/frío                                "make… It is hot/… amb-… (Pust…</w:t>
      </w:r>
      <w:r>
        <w:br/>
      </w:r>
      <w:r>
        <w:rPr>
          <w:rStyle w:val="CommentTok"/>
        </w:rPr>
        <w:t xml:space="preserve">#&gt; 3 Ik heb het koud                                "\\te… I am cold;… feel… (Ross…</w:t>
      </w:r>
      <w:r>
        <w:br/>
      </w:r>
      <w:r>
        <w:rPr>
          <w:rStyle w:val="CommentTok"/>
        </w:rPr>
        <w:t xml:space="preserve">#&gt; 4 Kotae-nagara otousan to okaasan wa honobonoto… "repl… While repl… hear… (Shin…</w:t>
      </w:r>
      <w:r>
        <w:br/>
      </w:r>
      <w:r>
        <w:rPr>
          <w:rStyle w:val="CommentTok"/>
        </w:rPr>
        <w:t xml:space="preserve">#&gt; 5 Ainiku sonna shumi wa nai. Tsumetai-none. Ked… "unfo… Unfortunat… lang… (Shin…</w:t>
      </w:r>
      <w:r>
        <w:br/>
      </w:r>
      <w:r>
        <w:rPr>
          <w:rStyle w:val="NormalTok"/>
        </w:rPr>
        <w:t xml:space="preserve">glosses</w:t>
      </w:r>
      <w:r>
        <w:rPr>
          <w:rStyle w:val="SpecialCharTok"/>
        </w:rPr>
        <w:t xml:space="preserve">$</w:t>
      </w:r>
      <w:r>
        <w:rPr>
          <w:rStyle w:val="NormalTok"/>
        </w:rPr>
        <w:t xml:space="preserve">label</w:t>
      </w:r>
      <w:r>
        <w:br/>
      </w:r>
      <w:r>
        <w:rPr>
          <w:rStyle w:val="CommentTok"/>
        </w:rPr>
        <w:t xml:space="preserve">#&gt; [1] "feel-icelandic"  "amb-spanish"     "feel-dutch"      "heartwarming-jp"</w:t>
      </w:r>
      <w:r>
        <w:br/>
      </w:r>
      <w:r>
        <w:rPr>
          <w:rStyle w:val="CommentTok"/>
        </w:rPr>
        <w:t xml:space="preserve">#&gt; [5] "languid-jp"</w:t>
      </w:r>
    </w:p>
    <w:p>
      <w:pPr>
        <w:pStyle w:val="FirstParagraph"/>
      </w:pPr>
      <w:r>
        <w:t xml:space="preserve">Assuming you have them in a table with columns matching the arguments of</w:t>
      </w:r>
      <w:r>
        <w:t xml:space="preserve"> </w:t>
      </w:r>
      <w:r>
        <w:rPr>
          <w:rStyle w:val="VerbatimChar"/>
        </w:rPr>
        <w:t xml:space="preserve">as_gloss()</w:t>
      </w:r>
      <w:r>
        <w:t xml:space="preserve">, you can give it to</w:t>
      </w:r>
      <w:r>
        <w:t xml:space="preserve"> </w:t>
      </w:r>
      <w:r>
        <w:rPr>
          <w:rStyle w:val="VerbatimChar"/>
        </w:rPr>
        <w:t xml:space="preserve">gloss_df()</w:t>
      </w:r>
      <w:r>
        <w:t xml:space="preserve"> </w:t>
      </w:r>
      <w:r>
        <w:t xml:space="preserve">directly and it will do the job. That is: columns named</w:t>
      </w:r>
      <w:r>
        <w:t xml:space="preserve"> </w:t>
      </w:r>
      <w:r>
        <w:t xml:space="preserve">“</w:t>
      </w:r>
      <w:r>
        <w:t xml:space="preserve">translation</w:t>
      </w:r>
      <w:r>
        <w:t xml:space="preserve">”</w:t>
      </w:r>
      <w:r>
        <w:t xml:space="preserve">,</w:t>
      </w:r>
      <w:r>
        <w:t xml:space="preserve"> </w:t>
      </w:r>
      <w:r>
        <w:t xml:space="preserve">“</w:t>
      </w:r>
      <w:r>
        <w:t xml:space="preserve">source</w:t>
      </w:r>
      <w:r>
        <w:t xml:space="preserve">”</w:t>
      </w:r>
      <w:r>
        <w:t xml:space="preserve">,</w:t>
      </w:r>
      <w:r>
        <w:t xml:space="preserve"> </w:t>
      </w:r>
      <w:r>
        <w:t xml:space="preserve">“</w:t>
      </w:r>
      <w:r>
        <w:t xml:space="preserve">label</w:t>
      </w:r>
      <w:r>
        <w:t xml:space="preserve">”</w:t>
      </w:r>
      <w:r>
        <w:t xml:space="preserve"> </w:t>
      </w:r>
      <w:r>
        <w:t xml:space="preserve">and</w:t>
      </w:r>
      <w:r>
        <w:t xml:space="preserve"> </w:t>
      </w:r>
      <w:r>
        <w:t xml:space="preserve">“</w:t>
      </w:r>
      <w:r>
        <w:t xml:space="preserve">trans_glosses</w:t>
      </w:r>
      <w:r>
        <w:t xml:space="preserve">”</w:t>
      </w:r>
      <w:r>
        <w:t xml:space="preserve"> </w:t>
      </w:r>
      <w:r>
        <w:t xml:space="preserve">will be interpreted as those arguments, and all the others will be read as lines to align regardless of their column names.</w:t>
      </w:r>
      <w:r>
        <w:t xml:space="preserve"> </w:t>
      </w:r>
      <w:r>
        <w:t xml:space="preserve">This table has more columns than we need, so we will only select the right ones and print the glosses of the first three rows. Note that the values in the</w:t>
      </w:r>
      <w:r>
        <w:t xml:space="preserve"> </w:t>
      </w:r>
      <w:r>
        <w:t xml:space="preserve">“</w:t>
      </w:r>
      <w:r>
        <w:t xml:space="preserve">label</w:t>
      </w:r>
      <w:r>
        <w:t xml:space="preserve">”</w:t>
      </w:r>
      <w:r>
        <w:t xml:space="preserve"> </w:t>
      </w:r>
      <w:r>
        <w:t xml:space="preserve">column will be used as labels:</w:t>
      </w:r>
      <w:r>
        <w:t xml:space="preserve"> </w:t>
      </w:r>
      <w:r>
        <w:rPr>
          <w:rStyle w:val="VerbatimChar"/>
        </w:rPr>
        <w:t xml:space="preserve">`r gloss("feel-icelandic")`</w:t>
      </w:r>
      <w:r>
        <w:t xml:space="preserve"> </w:t>
      </w:r>
      <w:r>
        <w:t xml:space="preserve">will return (2).</w:t>
      </w:r>
    </w:p>
    <w:p>
      <w:pPr>
        <w:pStyle w:val="SourceCode"/>
      </w:pPr>
      <w:r>
        <w:rPr>
          <w:rStyle w:val="FunctionTok"/>
        </w:rPr>
        <w:t xml:space="preserve">gloss_df</w:t>
      </w:r>
      <w:r>
        <w:rPr>
          <w:rStyle w:val="NormalTok"/>
        </w:rPr>
        <w:t xml:space="preserve">(</w:t>
      </w:r>
      <w:r>
        <w:rPr>
          <w:rStyle w:val="FunctionTok"/>
        </w:rPr>
        <w:t xml:space="preserve">head</w:t>
      </w:r>
      <w:r>
        <w:rPr>
          <w:rStyle w:val="NormalTok"/>
        </w:rPr>
        <w:t xml:space="preserve">(glosses, </w:t>
      </w:r>
      <w:r>
        <w:rPr>
          <w:rStyle w:val="DecValTok"/>
        </w:rPr>
        <w:t xml:space="preserve">3</w:t>
      </w:r>
      <w:r>
        <w:rPr>
          <w:rStyle w:val="NormalTok"/>
        </w:rPr>
        <w:t xml:space="preserve">))</w:t>
      </w:r>
    </w:p>
    <w:p>
      <w:pPr>
        <w:numPr>
          <w:ilvl w:val="0"/>
          <w:numId w:val="1003"/>
        </w:numPr>
        <w:pStyle w:val="Compact"/>
      </w:pPr>
      <w:r>
        <w:rPr>
          <w:rFonts w:ascii="Arial" w:hAnsi="Arial" w:eastAsia="Arial" w:cs="Arial"/>
          <w:i w:val="false"/>
          <w:b w:val="true"/>
          <w:u w:val="none"/>
          <w:sz w:val="20"/>
          <w:szCs w:val="20"/>
          <w:color w:val="000000"/>
        </w:rPr>
        <w:t xml:space="preserve">(Einarsson 1945:170)</w:t>
      </w:r>
    </w:p>
    <w:tbl xmlns:w14="http://schemas.microsoft.com/office/word/2010/wordml">
      <w:tblPr>
        <w:tblLayout w:type="fixed"/>
        <w:jc w:val="start"/>
        <w:tblLook w:firstRow="1" w:lastRow="0" w:firstColumn="0" w:lastColumn="0" w:noHBand="0" w:noVBand="1"/>
      </w:tblPr>
      <w:tblGrid>
        <w:gridCol w:w="1666"/>
        <w:gridCol w:w="1281"/>
        <w:gridCol w:w="1098"/>
      </w:tblGrid>
      <w:tr>
        <w:trPr>
          <w:cantSplit/>
          <w:trHeight w:val="307"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i/>
                <w:sz w:val="22"/>
                <w:szCs w:val="22"/>
                <w:color w:val="000000"/>
              </w:rPr>
              <w:t xml:space="preserve">Mér</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er</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heitt/kalt</w:t>
            </w:r>
          </w:p>
        </w:tc>
      </w:tr>
      <w:tr>
        <w:trPr>
          <w:cantSplit/>
          <w:trHeight w:val="348"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1sg.dat</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cop.1sg.prs</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hot/cold.a</w:t>
            </w:r>
          </w:p>
        </w:tc>
      </w:tr>
    </w:tbl>
    <w:tbl xmlns:w14="http://schemas.microsoft.com/office/word/2010/wordml">
      <w:tblPr>
        <w:tblLayout w:type="fixed"/>
        <w:jc w:val="start"/>
        <w:tblLook w:firstRow="1" w:lastRow="0" w:firstColumn="0" w:lastColumn="0" w:noHBand="0" w:noVBand="1"/>
      </w:tblPr>
      <w:tblGrid>
        <w:gridCol w:w="2421"/>
      </w:tblGrid>
      <w:tr>
        <w:trPr>
          <w:cantSplit/>
          <w:trHeight w:val="307"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"I am hot/cold."</w:t>
            </w:r>
          </w:p>
        </w:tc>
      </w:tr>
    </w:tbl>
    <w:p>
      <w:pPr>
        <w:numPr>
          <w:ilvl w:val="0"/>
          <w:numId w:val="1004"/>
        </w:numPr>
        <w:pStyle w:val="Compact"/>
      </w:pPr>
      <w:r>
        <w:rPr>
          <w:rFonts w:ascii="Arial" w:hAnsi="Arial" w:eastAsia="Arial" w:cs="Arial"/>
          <w:i w:val="false"/>
          <w:b w:val="true"/>
          <w:u w:val="none"/>
          <w:sz w:val="20"/>
          <w:szCs w:val="20"/>
          <w:color w:val="000000"/>
        </w:rPr>
        <w:t xml:space="preserve">(Pustet 2015:908)</w:t>
      </w:r>
    </w:p>
    <w:tbl xmlns:w14="http://schemas.microsoft.com/office/word/2010/wordml">
      <w:tblPr>
        <w:tblLayout w:type="fixed"/>
        <w:jc w:val="start"/>
        <w:tblLook w:firstRow="1" w:lastRow="0" w:firstColumn="0" w:lastColumn="0" w:noHBand="0" w:noVBand="1"/>
      </w:tblPr>
      <w:tblGrid>
        <w:gridCol w:w="2265"/>
        <w:gridCol w:w="1465"/>
      </w:tblGrid>
      <w:tr>
        <w:trPr>
          <w:cantSplit/>
          <w:trHeight w:val="307"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i/>
                <w:sz w:val="22"/>
                <w:szCs w:val="22"/>
                <w:color w:val="000000"/>
              </w:rPr>
              <w:t xml:space="preserve">Hace</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calor/frío</w:t>
            </w:r>
          </w:p>
        </w:tc>
      </w:tr>
      <w:tr>
        <w:trPr>
          <w:cantSplit/>
          <w:trHeight w:val="348"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make.3sg.prs</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heat/cold..n.a</w:t>
            </w:r>
          </w:p>
        </w:tc>
      </w:tr>
    </w:tbl>
    <w:tbl xmlns:w14="http://schemas.microsoft.com/office/word/2010/wordml">
      <w:tblPr>
        <w:tblLayout w:type="fixed"/>
        <w:jc w:val="start"/>
        <w:tblLook w:firstRow="1" w:lastRow="0" w:firstColumn="0" w:lastColumn="0" w:noHBand="0" w:noVBand="1"/>
      </w:tblPr>
      <w:tblGrid>
        <w:gridCol w:w="5037"/>
      </w:tblGrid>
      <w:tr>
        <w:trPr>
          <w:cantSplit/>
          <w:trHeight w:val="350"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"It is hot/cold; literally: it makes heat/cold."</w:t>
            </w:r>
          </w:p>
        </w:tc>
      </w:tr>
    </w:tbl>
    <w:p>
      <w:pPr>
        <w:numPr>
          <w:ilvl w:val="0"/>
          <w:numId w:val="1005"/>
        </w:numPr>
        <w:pStyle w:val="Compact"/>
      </w:pPr>
      <w:r>
        <w:rPr>
          <w:rFonts w:ascii="Arial" w:hAnsi="Arial" w:eastAsia="Arial" w:cs="Arial"/>
          <w:i w:val="false"/>
          <w:b w:val="true"/>
          <w:u w:val="none"/>
          <w:sz w:val="20"/>
          <w:szCs w:val="20"/>
          <w:color w:val="000000"/>
        </w:rPr>
        <w:t xml:space="preserve">(Ross 1996:204)</w:t>
      </w:r>
    </w:p>
    <w:tbl xmlns:w14="http://schemas.microsoft.com/office/word/2010/wordml">
      <w:tblPr>
        <w:tblLayout w:type="fixed"/>
        <w:jc w:val="start"/>
        <w:tblLook w:firstRow="1" w:lastRow="0" w:firstColumn="0" w:lastColumn="0" w:noHBand="0" w:noVBand="1"/>
      </w:tblPr>
      <w:tblGrid>
        <w:gridCol w:w="1299"/>
        <w:gridCol w:w="621"/>
        <w:gridCol w:w="499"/>
        <w:gridCol w:w="731"/>
      </w:tblGrid>
      <w:tr>
        <w:trPr>
          <w:cantSplit/>
          <w:trHeight w:val="304"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i/>
                <w:sz w:val="22"/>
                <w:szCs w:val="22"/>
                <w:color w:val="000000"/>
              </w:rPr>
              <w:t xml:space="preserve">Ik</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heb</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het</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koud</w:t>
            </w:r>
          </w:p>
        </w:tc>
      </w:tr>
      <w:tr>
        <w:trPr>
          <w:cantSplit/>
          <w:trHeight w:val="348"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1sg</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have</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3sg</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cold.a</w:t>
            </w:r>
          </w:p>
        </w:tc>
      </w:tr>
    </w:tbl>
    <w:tbl xmlns:w14="http://schemas.microsoft.com/office/word/2010/wordml">
      <w:tblPr>
        <w:tblLayout w:type="fixed"/>
        <w:jc w:val="start"/>
        <w:tblLook w:firstRow="1" w:lastRow="0" w:firstColumn="0" w:lastColumn="0" w:noHBand="0" w:noVBand="1"/>
      </w:tblPr>
      <w:tblGrid>
        <w:gridCol w:w="4218"/>
      </w:tblGrid>
      <w:tr>
        <w:trPr>
          <w:cantSplit/>
          <w:trHeight w:val="348"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"I am cold; literally: I have it cold."</w:t>
            </w:r>
          </w:p>
        </w:tc>
      </w:tr>
    </w:tbl>
    <w:bookmarkEnd w:id="27"/>
    <w:bookmarkStart w:id="28" w:name="pdf-only-features"/>
    <w:p>
      <w:pPr>
        <w:pStyle w:val="Titre1"/>
      </w:pPr>
      <w:r>
        <w:t xml:space="preserve">PDF-only features</w:t>
      </w:r>
    </w:p>
    <w:p>
      <w:pPr>
        <w:pStyle w:val="FirstParagraph"/>
      </w:pPr>
      <w:r>
        <w:t xml:space="preserve">This package also offers a few extensions when working on PDF output. On the one hand,</w:t>
      </w:r>
      <w:r>
        <w:t xml:space="preserve"> </w:t>
      </w:r>
      <w:r>
        <w:rPr>
          <w:rStyle w:val="VerbatimChar"/>
        </w:rPr>
        <w:t xml:space="preserve">gloss_list()</w:t>
      </w:r>
      <w:r>
        <w:t xml:space="preserve"> </w:t>
      </w:r>
      <w:r>
        <w:t xml:space="preserve">allows you to nest a list of glosses and have both a reference for the list and for each individual item.</w:t>
      </w:r>
      <w:r>
        <w:t xml:space="preserve"> </w:t>
      </w:r>
      <w:r>
        <w:rPr>
          <w:bCs/>
          <w:b/>
        </w:rPr>
        <w:t xml:space="preserve">This will not work in HTML or Word</w:t>
      </w:r>
      <w:r>
        <w:t xml:space="preserve">, which will just keep the numbering on the top level. But on PDF, given the function on some examples from</w:t>
      </w:r>
      <w:r>
        <w:t xml:space="preserve"> </w:t>
      </w:r>
      <w:r>
        <w:t xml:space="preserve">(Shindo 2015)</w:t>
      </w:r>
      <w:r>
        <w:t xml:space="preserve">, we can use</w:t>
      </w:r>
      <w:r>
        <w:t xml:space="preserve"> </w:t>
      </w:r>
      <w:r>
        <w:rPr>
          <w:rStyle w:val="VerbatimChar"/>
        </w:rPr>
        <w:t xml:space="preserve">`r gloss("jp")`</w:t>
      </w:r>
      <w:r>
        <w:t xml:space="preserve"> </w:t>
      </w:r>
      <w:r>
        <w:t xml:space="preserve">to reference (</w:t>
      </w:r>
      <w:r>
        <w:t xml:space="preserve">(</w:t>
      </w:r>
      <w:r>
        <w:rPr>
          <w:bCs/>
          <w:b/>
        </w:rPr>
        <w:t xml:space="preserve">jp?</w:t>
      </w:r>
      <w:r>
        <w:t xml:space="preserve">)</w:t>
      </w:r>
      <w:r>
        <w:t xml:space="preserve">), or</w:t>
      </w:r>
      <w:r>
        <w:t xml:space="preserve"> </w:t>
      </w:r>
      <w:r>
        <w:rPr>
          <w:rStyle w:val="VerbatimChar"/>
        </w:rPr>
        <w:t xml:space="preserve">`r gloss("heartwarming-jp")`</w:t>
      </w:r>
      <w:r>
        <w:t xml:space="preserve"> </w:t>
      </w:r>
      <w:r>
        <w:t xml:space="preserve">and</w:t>
      </w:r>
      <w:r>
        <w:t xml:space="preserve"> </w:t>
      </w:r>
      <w:r>
        <w:rPr>
          <w:rStyle w:val="VerbatimChar"/>
        </w:rPr>
        <w:t xml:space="preserve">`r gloss("languid-jp")`</w:t>
      </w:r>
      <w:r>
        <w:t xml:space="preserve"> </w:t>
      </w:r>
      <w:r>
        <w:t xml:space="preserve">to reference (5) and (6).</w:t>
      </w:r>
    </w:p>
    <w:p>
      <w:pPr>
        <w:pStyle w:val="SourceCode"/>
      </w:pPr>
      <w:r>
        <w:rPr>
          <w:rStyle w:val="FunctionTok"/>
        </w:rPr>
        <w:t xml:space="preserve">filter</w:t>
      </w:r>
      <w:r>
        <w:rPr>
          <w:rStyle w:val="NormalTok"/>
        </w:rPr>
        <w:t xml:space="preserve">(glosses, </w:t>
      </w:r>
      <w:r>
        <w:rPr>
          <w:rStyle w:val="FunctionTok"/>
        </w:rPr>
        <w:t xml:space="preserve">endsWith</w:t>
      </w:r>
      <w:r>
        <w:rPr>
          <w:rStyle w:val="NormalTok"/>
        </w:rPr>
        <w:t xml:space="preserve">(label, </w:t>
      </w:r>
      <w:r>
        <w:rPr>
          <w:rStyle w:val="StringTok"/>
        </w:rPr>
        <w:t xml:space="preserve">"jp"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gloss_df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gloss_list</w:t>
      </w:r>
      <w:r>
        <w:rPr>
          <w:rStyle w:val="NormalTok"/>
        </w:rPr>
        <w:t xml:space="preserve">(</w:t>
      </w:r>
      <w:r>
        <w:rPr>
          <w:rStyle w:val="AttributeTok"/>
        </w:rPr>
        <w:t xml:space="preserve">listlabel =</w:t>
      </w:r>
      <w:r>
        <w:rPr>
          <w:rStyle w:val="NormalTok"/>
        </w:rPr>
        <w:t xml:space="preserve"> </w:t>
      </w:r>
      <w:r>
        <w:rPr>
          <w:rStyle w:val="StringTok"/>
        </w:rPr>
        <w:t xml:space="preserve">"jp"</w:t>
      </w:r>
      <w:r>
        <w:rPr>
          <w:rStyle w:val="NormalTok"/>
        </w:rPr>
        <w:t xml:space="preserve">)</w:t>
      </w:r>
    </w:p>
    <w:p>
      <w:pPr>
        <w:numPr>
          <w:ilvl w:val="0"/>
          <w:numId w:val="1006"/>
        </w:numPr>
        <w:pStyle w:val="Compact"/>
      </w:pPr>
      <w:r>
        <w:rPr>
          <w:rFonts w:ascii="Arial" w:hAnsi="Arial" w:eastAsia="Arial" w:cs="Arial"/>
          <w:i w:val="false"/>
          <w:b w:val="true"/>
          <w:u w:val="none"/>
          <w:sz w:val="20"/>
          <w:szCs w:val="20"/>
          <w:color w:val="000000"/>
        </w:rPr>
        <w:t xml:space="preserve">(Shindo 2015:660)</w:t>
      </w:r>
    </w:p>
    <w:tbl xmlns:w14="http://schemas.microsoft.com/office/word/2010/wordml">
      <w:tblPr>
        <w:tblLayout w:type="fixed"/>
        <w:jc w:val="start"/>
        <w:tblLook w:firstRow="1" w:lastRow="0" w:firstColumn="0" w:lastColumn="0" w:noHBand="0" w:noVBand="1"/>
      </w:tblPr>
      <w:tblGrid>
        <w:gridCol w:w="2277"/>
        <w:gridCol w:w="927"/>
        <w:gridCol w:w="511"/>
        <w:gridCol w:w="976"/>
        <w:gridCol w:w="450"/>
        <w:gridCol w:w="1477"/>
        <w:gridCol w:w="1037"/>
      </w:tblGrid>
      <w:tr>
        <w:trPr>
          <w:cantSplit/>
          <w:trHeight w:val="348"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i/>
                <w:sz w:val="22"/>
                <w:szCs w:val="22"/>
                <w:color w:val="000000"/>
              </w:rPr>
              <w:t xml:space="preserve">Kotae-nagara</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otousan</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to</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okaasan</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wa</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honobonoto</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atatakai2</w:t>
            </w:r>
          </w:p>
        </w:tc>
      </w:tr>
      <w:tr>
        <w:trPr>
          <w:cantSplit/>
          <w:trHeight w:val="348"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reply-while</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father</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and</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mother</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top</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heartwarming</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warm</w:t>
            </w:r>
          </w:p>
        </w:tc>
      </w:tr>
    </w:tbl>
    <w:tbl xmlns:w14="http://schemas.microsoft.com/office/word/2010/wordml">
      <w:tblPr>
        <w:tblLayout w:type="fixed"/>
        <w:jc w:val="start"/>
        <w:tblLook w:firstRow="1" w:lastRow="0" w:firstColumn="0" w:lastColumn="0" w:noHBand="0" w:noVBand="1"/>
      </w:tblPr>
      <w:tblGrid>
        <w:gridCol w:w="1494"/>
        <w:gridCol w:w="535"/>
        <w:gridCol w:w="1550"/>
        <w:gridCol w:w="890"/>
        <w:gridCol w:w="572"/>
        <w:gridCol w:w="755"/>
      </w:tblGrid>
      <w:tr>
        <w:trPr>
          <w:cantSplit/>
          <w:trHeight w:val="307"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i/>
                <w:sz w:val="22"/>
                <w:szCs w:val="22"/>
                <w:color w:val="000000"/>
              </w:rPr>
              <w:t xml:space="preserve">mono</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ni</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tsutsum-areru</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kimochi</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ga</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shi-ta.</w:t>
            </w:r>
          </w:p>
        </w:tc>
      </w:tr>
      <w:tr>
        <w:trPr>
          <w:cantSplit/>
          <w:trHeight w:val="350"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thing</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with</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surround-pass</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feeling</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nom</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do-pst</w:t>
            </w:r>
          </w:p>
        </w:tc>
      </w:tr>
    </w:tbl>
    <w:tbl xmlns:w14="http://schemas.microsoft.com/office/word/2010/wordml">
      <w:tblPr>
        <w:tblLayout w:type="fixed"/>
        <w:jc w:val="start"/>
        <w:tblLook w:firstRow="1" w:lastRow="0" w:firstColumn="0" w:lastColumn="0" w:noHBand="0" w:noVBand="1"/>
      </w:tblPr>
      <w:tblGrid>
        <w:gridCol w:w="12008"/>
      </w:tblGrid>
      <w:tr>
        <w:trPr>
          <w:cantSplit/>
          <w:trHeight w:val="350"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"While replying (to your question), Father and Mohter felt like they were surrounded by something heart warming."</w:t>
            </w:r>
          </w:p>
        </w:tc>
      </w:tr>
    </w:tbl>
    <w:p>
      <w:pPr>
        <w:numPr>
          <w:ilvl w:val="0"/>
          <w:numId w:val="1007"/>
        </w:numPr>
        <w:pStyle w:val="Compact"/>
      </w:pPr>
      <w:r>
        <w:rPr>
          <w:rFonts w:ascii="Arial" w:hAnsi="Arial" w:eastAsia="Arial" w:cs="Arial"/>
          <w:i w:val="false"/>
          <w:b w:val="true"/>
          <w:u w:val="none"/>
          <w:sz w:val="20"/>
          <w:szCs w:val="20"/>
          <w:color w:val="000000"/>
        </w:rPr>
        <w:t xml:space="preserve">(Shindo 2015:660)</w:t>
      </w:r>
    </w:p>
    <w:tbl xmlns:w14="http://schemas.microsoft.com/office/word/2010/wordml">
      <w:tblPr>
        <w:tblLayout w:type="fixed"/>
        <w:jc w:val="start"/>
        <w:tblLook w:firstRow="1" w:lastRow="0" w:firstColumn="0" w:lastColumn="0" w:noHBand="0" w:noVBand="1"/>
      </w:tblPr>
      <w:tblGrid>
        <w:gridCol w:w="2216"/>
        <w:gridCol w:w="743"/>
        <w:gridCol w:w="865"/>
        <w:gridCol w:w="450"/>
        <w:gridCol w:w="963"/>
        <w:gridCol w:w="1673"/>
      </w:tblGrid>
      <w:tr>
        <w:trPr>
          <w:cantSplit/>
          <w:trHeight w:val="304"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i/>
                <w:sz w:val="22"/>
                <w:szCs w:val="22"/>
                <w:color w:val="000000"/>
              </w:rPr>
              <w:t xml:space="preserve">Ainiku</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sonna</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shumi</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wa</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nai.</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Tsumetai-none.</w:t>
            </w:r>
          </w:p>
        </w:tc>
      </w:tr>
      <w:tr>
        <w:trPr>
          <w:cantSplit/>
          <w:trHeight w:val="350"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unfortunately</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such</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interest</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top</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not.exist</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cold-emph</w:t>
            </w:r>
          </w:p>
        </w:tc>
      </w:tr>
    </w:tbl>
    <w:tbl xmlns:w14="http://schemas.microsoft.com/office/word/2010/wordml">
      <w:tblPr>
        <w:tblLayout w:type="fixed"/>
        <w:jc w:val="start"/>
        <w:tblLook w:firstRow="1" w:lastRow="0" w:firstColumn="0" w:lastColumn="0" w:noHBand="0" w:noVBand="1"/>
      </w:tblPr>
      <w:tblGrid>
        <w:gridCol w:w="2326"/>
        <w:gridCol w:w="658"/>
        <w:gridCol w:w="865"/>
      </w:tblGrid>
      <w:tr>
        <w:trPr>
          <w:cantSplit/>
          <w:trHeight w:val="304"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i/>
                <w:sz w:val="22"/>
                <w:szCs w:val="22"/>
                <w:color w:val="000000"/>
              </w:rPr>
              <w:t xml:space="preserve">Kedaru-souna</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koe</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da-tta.</w:t>
            </w:r>
          </w:p>
        </w:tc>
      </w:tr>
      <w:tr>
        <w:trPr>
          <w:cantSplit/>
          <w:trHeight w:val="348"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languid-seem</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voice</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cop-pst</w:t>
            </w:r>
          </w:p>
        </w:tc>
      </w:tr>
    </w:tbl>
    <w:tbl xmlns:w14="http://schemas.microsoft.com/office/word/2010/wordml">
      <w:tblPr>
        <w:tblLayout w:type="fixed"/>
        <w:jc w:val="start"/>
        <w:tblLook w:firstRow="1" w:lastRow="0" w:firstColumn="0" w:lastColumn="0" w:noHBand="0" w:noVBand="1"/>
      </w:tblPr>
      <w:tblGrid>
        <w:gridCol w:w="9881"/>
      </w:tblGrid>
      <w:tr>
        <w:trPr>
          <w:cantSplit/>
          <w:trHeight w:val="350"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"Unfortunately I never have such an interest. You are so cold. (Her) voice sounded languid."</w:t>
            </w:r>
          </w:p>
        </w:tc>
      </w:tr>
    </w:tbl>
    <w:p>
      <w:pPr>
        <w:pStyle w:val="FirstParagraph"/>
      </w:pPr>
      <w:r>
        <w:t xml:space="preserve">Finally, it might be the case that you want to apply</w:t>
      </w:r>
      <w:r>
        <w:t xml:space="preserve"> </w:t>
      </w:r>
      <m:oMath>
        <m:r>
          <m:t>L</m:t>
        </m:r>
        <m:r>
          <m:t>a</m:t>
        </m:r>
        <m:r>
          <m:t>T</m:t>
        </m:r>
        <m:r>
          <m:t>e</m:t>
        </m:r>
        <m:r>
          <m:t>X</m:t>
        </m:r>
      </m:oMath>
      <w:r>
        <w:t xml:space="preserve"> </w:t>
      </w:r>
      <w:r>
        <w:t xml:space="preserve">formatting to a long string of elements for your first lines of glosses, e.g. set half of your example in italics. In order to facilitate applying the same formatting to each individual element, this package offers you</w:t>
      </w:r>
      <w:r>
        <w:t xml:space="preserve"> </w:t>
      </w:r>
      <w:r>
        <w:rPr>
          <w:rStyle w:val="VerbatimChar"/>
        </w:rPr>
        <w:t xml:space="preserve">gloss_format_words()</w:t>
      </w:r>
      <w:r>
        <w:t xml:space="preserve">, which you can implement to the strings given to</w:t>
      </w:r>
      <w:r>
        <w:t xml:space="preserve"> </w:t>
      </w:r>
      <w:r>
        <w:rPr>
          <w:rStyle w:val="VerbatimChar"/>
        </w:rPr>
        <w:t xml:space="preserve">as_gloss()</w:t>
      </w:r>
      <w:r>
        <w:t xml:space="preserve">.</w:t>
      </w:r>
    </w:p>
    <w:p>
      <w:pPr>
        <w:pStyle w:val="Corpsdetexte"/>
      </w:pPr>
      <w:r>
        <w:t xml:space="preserve">Internally,</w:t>
      </w:r>
      <w:r>
        <w:t xml:space="preserve"> </w:t>
      </w:r>
      <w:r>
        <w:rPr>
          <w:rStyle w:val="VerbatimChar"/>
        </w:rPr>
        <w:t xml:space="preserve">glossr</w:t>
      </w:r>
      <w:r>
        <w:t xml:space="preserve"> </w:t>
      </w:r>
      <w:r>
        <w:t xml:space="preserve">will try to parse</w:t>
      </w:r>
      <w:r>
        <w:t xml:space="preserve"> </w:t>
      </w:r>
      <m:oMath>
        <m:r>
          <m:t>L</m:t>
        </m:r>
        <m:r>
          <m:t>a</m:t>
        </m:r>
        <m:r>
          <m:t>T</m:t>
        </m:r>
        <m:r>
          <m:t>e</m:t>
        </m:r>
        <m:r>
          <m:t>X</m:t>
        </m:r>
      </m:oMath>
      <w:r>
        <w:t xml:space="preserve"> </w:t>
      </w:r>
      <w:r>
        <w:t xml:space="preserve">formatting into HTML but currently it doesn’t parse it to Word or read HTML/markdown tags. Coming soon a vignette on applying formatting or changing the defaults (e.g. italics for the first line). For the wish list.</w:t>
      </w:r>
    </w:p>
    <w:p>
      <w:pPr>
        <w:pStyle w:val="SourceCode"/>
      </w:pPr>
      <w:r>
        <w:rPr>
          <w:rStyle w:val="FunctionTok"/>
        </w:rPr>
        <w:t xml:space="preserve">gloss_format_words</w:t>
      </w:r>
      <w:r>
        <w:rPr>
          <w:rStyle w:val="NormalTok"/>
        </w:rPr>
        <w:t xml:space="preserve">(</w:t>
      </w:r>
      <w:r>
        <w:rPr>
          <w:rStyle w:val="StringTok"/>
        </w:rPr>
        <w:t xml:space="preserve">"A long piece of text"</w:t>
      </w:r>
      <w:r>
        <w:rPr>
          <w:rStyle w:val="NormalTok"/>
        </w:rPr>
        <w:t xml:space="preserve">, </w:t>
      </w:r>
      <w:r>
        <w:rPr>
          <w:rStyle w:val="StringTok"/>
        </w:rPr>
        <w:t xml:space="preserve">"textit"</w:t>
      </w:r>
      <w:r>
        <w:rPr>
          <w:rStyle w:val="NormalTok"/>
        </w:rPr>
        <w:t xml:space="preserve">)</w:t>
      </w:r>
      <w:r>
        <w:br/>
      </w:r>
      <w:r>
        <w:rPr>
          <w:rStyle w:val="CommentTok"/>
        </w:rPr>
        <w:t xml:space="preserve">#&gt; [1] "\\textit{A} \\textit{long} \\textit{piece} \\textit{of} \\textit{text}"</w:t>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AttributeTok"/>
        </w:rPr>
        <w:t xml:space="preserve">original =</w:t>
      </w:r>
      <w:r>
        <w:rPr>
          <w:rStyle w:val="NormalTok"/>
        </w:rPr>
        <w:t xml:space="preserve"> </w:t>
      </w:r>
      <w:r>
        <w:rPr>
          <w:rStyle w:val="FunctionTok"/>
        </w:rPr>
        <w:t xml:space="preserve">gloss_format_words</w:t>
      </w:r>
      <w:r>
        <w:rPr>
          <w:rStyle w:val="NormalTok"/>
        </w:rPr>
        <w:t xml:space="preserve">(</w:t>
      </w:r>
      <w:r>
        <w:rPr>
          <w:rStyle w:val="StringTok"/>
        </w:rPr>
        <w:t xml:space="preserve">"Hace calor/frío"</w:t>
      </w:r>
      <w:r>
        <w:rPr>
          <w:rStyle w:val="NormalTok"/>
        </w:rPr>
        <w:t xml:space="preserve">, </w:t>
      </w:r>
      <w:r>
        <w:rPr>
          <w:rStyle w:val="StringTok"/>
        </w:rPr>
        <w:t xml:space="preserve">"textbf"</w:t>
      </w:r>
      <w:r>
        <w:rPr>
          <w:rStyle w:val="NormalTok"/>
        </w:rPr>
        <w:t xml:space="preserve">),</w:t>
      </w:r>
      <w:r>
        <w:br/>
      </w:r>
      <w:r>
        <w:rPr>
          <w:rStyle w:val="NormalTok"/>
        </w:rPr>
        <w:t xml:space="preserve">  </w:t>
      </w:r>
      <w:r>
        <w:rPr>
          <w:rStyle w:val="AttributeTok"/>
        </w:rPr>
        <w:t xml:space="preserve">parsed =</w:t>
      </w:r>
      <w:r>
        <w:rPr>
          <w:rStyle w:val="NormalTok"/>
        </w:rPr>
        <w:t xml:space="preserve"> </w:t>
      </w:r>
      <w:r>
        <w:rPr>
          <w:rStyle w:val="StringTok"/>
        </w:rPr>
        <w:t xml:space="preserve">"make.3SG.PRS heat/cold.N.A"</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"'It is hot/cold'"</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"formatted"</w:t>
      </w:r>
      <w:r>
        <w:br/>
      </w:r>
      <w:r>
        <w:rPr>
          <w:rStyle w:val="NormalTok"/>
        </w:rPr>
        <w:t xml:space="preserve">)</w:t>
      </w:r>
      <w:r>
        <w:br/>
      </w:r>
      <w:r>
        <w:rPr>
          <w:rStyle w:val="NormalTok"/>
        </w:rPr>
        <w:t xml:space="preserve">my_gloss</w:t>
      </w:r>
    </w:p>
    <w:p>
      <w:pPr>
        <w:numPr>
          <w:ilvl w:val="0"/>
          <w:numId w:val="1008"/>
        </w:numPr>
        <w:pStyle w:val="Compact"/>
      </w:pPr>
      <w:r>
        <w:rPr>
          <w:rFonts w:ascii="Arial" w:hAnsi="Arial" w:eastAsia="Arial" w:cs="Arial"/>
          <w:i w:val="false"/>
          <w:b w:val="true"/>
          <w:u w:val="none"/>
          <w:sz w:val="20"/>
          <w:szCs w:val="20"/>
          <w:color w:val="000000"/>
        </w:rPr>
        <w:t xml:space="preserve">_</w:t>
      </w:r>
    </w:p>
    <w:tbl xmlns:w14="http://schemas.microsoft.com/office/word/2010/wordml">
      <w:tblPr>
        <w:tblLayout w:type="fixed"/>
        <w:jc w:val="start"/>
        <w:tblLook w:firstRow="1" w:lastRow="0" w:firstColumn="0" w:lastColumn="0" w:noHBand="0" w:noVBand="1"/>
      </w:tblPr>
      <w:tblGrid>
        <w:gridCol w:w="2497"/>
        <w:gridCol w:w="1746"/>
      </w:tblGrid>
      <w:tr>
        <w:trPr>
          <w:cantSplit/>
          <w:trHeight w:val="350"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b/>
                <w:i/>
                <w:sz w:val="22"/>
                <w:szCs w:val="22"/>
                <w:color w:val="000000"/>
              </w:rPr>
              <w:t xml:space="preserve">Hace</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b/>
                <w:i/>
                <w:sz w:val="22"/>
                <w:szCs w:val="22"/>
                <w:color w:val="000000"/>
              </w:rPr>
              <w:t xml:space="preserve">calor/frío</w:t>
            </w:r>
          </w:p>
        </w:tc>
      </w:tr>
      <w:tr>
        <w:trPr>
          <w:cantSplit/>
          <w:trHeight w:val="307"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make.3SG.PRS</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heat/cold.N.A</w:t>
            </w:r>
          </w:p>
        </w:tc>
      </w:tr>
    </w:tbl>
    <w:tbl xmlns:w14="http://schemas.microsoft.com/office/word/2010/wordml">
      <w:tblPr>
        <w:tblLayout w:type="fixed"/>
        <w:jc w:val="start"/>
        <w:tblLook w:firstRow="1" w:lastRow="0" w:firstColumn="0" w:lastColumn="0" w:noHBand="0" w:noVBand="1"/>
      </w:tblPr>
      <w:tblGrid>
        <w:gridCol w:w="2358"/>
      </w:tblGrid>
      <w:tr>
        <w:trPr>
          <w:cantSplit/>
          <w:trHeight w:val="307"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"'It is hot/cold'"</w:t>
            </w:r>
          </w:p>
        </w:tc>
      </w:tr>
    </w:tbl>
    <w:bookmarkEnd w:id="28"/>
    <w:bookmarkStart w:id="30" w:name="about-the-formats"/>
    <w:p>
      <w:pPr>
        <w:pStyle w:val="Titre1"/>
      </w:pPr>
      <w:r>
        <w:t xml:space="preserve">About the formats</w:t>
      </w:r>
    </w:p>
    <w:p>
      <w:pPr>
        <w:pStyle w:val="FirstParagraph"/>
      </w:pPr>
      <w:r>
        <w:t xml:space="preserve">The Latex output writes your glosses with the format required by the</w:t>
      </w:r>
      <w:r>
        <w:t xml:space="preserve"> </w:t>
      </w:r>
      <w:hyperlink r:id="rId29">
        <w:r>
          <w:rPr>
            <w:rStyle w:val="Lienhypertexte"/>
          </w:rPr>
          <w:t xml:space="preserve">expex package</w:t>
        </w:r>
      </w:hyperlink>
      <w:r>
        <w:t xml:space="preserve">. The default HMTL rendering uses</w:t>
      </w:r>
      <w:r>
        <w:t xml:space="preserve"> </w:t>
      </w:r>
      <w:hyperlink r:id="rId22">
        <w:r>
          <w:rPr>
            <w:rStyle w:val="Lienhypertexte"/>
          </w:rPr>
          <w:t xml:space="preserve">leipzig.js 0.8.0</w:t>
        </w:r>
      </w:hyperlink>
      <w:r>
        <w:t xml:space="preserve"> </w:t>
      </w:r>
      <w:r>
        <w:t xml:space="preserve">(and, of course, {htmltools}</w:t>
      </w:r>
      <w:r>
        <w:t xml:space="preserve"> </w:t>
      </w:r>
      <w:r>
        <w:t xml:space="preserve">(Cheng et al. 2021)</w:t>
      </w:r>
      <w:r>
        <w:t xml:space="preserve"> </w:t>
      </w:r>
      <w:r>
        <w:t xml:space="preserve">to read it with R). The Word output is an invisible table generated with {flextable}</w:t>
      </w:r>
      <w:r>
        <w:t xml:space="preserve"> </w:t>
      </w:r>
      <w:r>
        <w:t xml:space="preserve">(Gohel 2022)</w:t>
      </w:r>
      <w:r>
        <w:t xml:space="preserve">. Note that if the table of glosses is short so will be the translation; you can fix this manually by widening the table.</w:t>
      </w:r>
    </w:p>
    <w:p>
      <w:pPr>
        <w:pStyle w:val="Corpsdetexte"/>
      </w:pPr>
      <w:r>
        <w:t xml:space="preserve">If you are familiar with these tools and would like to suggests expansions or contribute to the package, go ahead, I would love to hear from you!</w:t>
      </w:r>
    </w:p>
    <w:bookmarkEnd w:id="30"/>
    <w:bookmarkStart w:id="41" w:name="references"/>
    <w:p>
      <w:pPr>
        <w:pStyle w:val="Titre1"/>
      </w:pPr>
      <w:r>
        <w:t xml:space="preserve">References</w:t>
      </w:r>
    </w:p>
    <w:bookmarkStart w:id="40" w:name="refs"/>
    <w:bookmarkStart w:id="32" w:name="ref-R-htmltools"/>
    <w:p>
      <w:pPr>
        <w:pStyle w:val="Bibliographie"/>
      </w:pPr>
      <w:r>
        <w:t xml:space="preserve">Cheng, Joe, Carson Sievert, Barret Schloerke, Winston Chang, Yihui Xie, and Jeff Allen. 2021.</w:t>
      </w:r>
      <w:r>
        <w:t xml:space="preserve"> </w:t>
      </w:r>
      <w:r>
        <w:rPr>
          <w:iCs/>
          <w:i/>
        </w:rPr>
        <w:t xml:space="preserve">Htmltools: Tools for HTML</w:t>
      </w:r>
      <w:r>
        <w:t xml:space="preserve">.</w:t>
      </w:r>
      <w:r>
        <w:t xml:space="preserve"> </w:t>
      </w:r>
      <w:hyperlink r:id="rId31">
        <w:r>
          <w:rPr>
            <w:rStyle w:val="Lienhypertexte"/>
          </w:rPr>
          <w:t xml:space="preserve">https://github.com/rstudio/htmltools</w:t>
        </w:r>
      </w:hyperlink>
      <w:r>
        <w:t xml:space="preserve">.</w:t>
      </w:r>
    </w:p>
    <w:bookmarkEnd w:id="32"/>
    <w:bookmarkStart w:id="34" w:name="ref-R-flextable"/>
    <w:p>
      <w:pPr>
        <w:pStyle w:val="Bibliographie"/>
      </w:pPr>
      <w:r>
        <w:t xml:space="preserve">Gohel, David. 2022.</w:t>
      </w:r>
      <w:r>
        <w:t xml:space="preserve"> </w:t>
      </w:r>
      <w:r>
        <w:rPr>
          <w:iCs/>
          <w:i/>
        </w:rPr>
        <w:t xml:space="preserve">Flextable: Functions for Tabular Reporting</w:t>
      </w:r>
      <w:r>
        <w:t xml:space="preserve">.</w:t>
      </w:r>
      <w:r>
        <w:t xml:space="preserve"> </w:t>
      </w:r>
      <w:hyperlink r:id="rId33">
        <w:r>
          <w:rPr>
            <w:rStyle w:val="Lienhypertexte"/>
          </w:rPr>
          <w:t xml:space="preserve">https://CRAN.R-project.org/package=flextable</w:t>
        </w:r>
      </w:hyperlink>
      <w:r>
        <w:t xml:space="preserve">.</w:t>
      </w:r>
    </w:p>
    <w:bookmarkEnd w:id="34"/>
    <w:bookmarkStart w:id="36" w:name="ref-R-officedown"/>
    <w:p>
      <w:pPr>
        <w:pStyle w:val="Bibliographie"/>
      </w:pPr>
      <w:r>
        <w:t xml:space="preserve">Gohel, David, and Noam Ross. 2022.</w:t>
      </w:r>
      <w:r>
        <w:t xml:space="preserve"> </w:t>
      </w:r>
      <w:r>
        <w:rPr>
          <w:iCs/>
          <w:i/>
        </w:rPr>
        <w:t xml:space="preserve">Officedown: Enhanced r Markdown Format for Word and PowerPoint</w:t>
      </w:r>
      <w:r>
        <w:t xml:space="preserve">.</w:t>
      </w:r>
      <w:r>
        <w:t xml:space="preserve"> </w:t>
      </w:r>
      <w:hyperlink r:id="rId35">
        <w:r>
          <w:rPr>
            <w:rStyle w:val="Lienhypertexte"/>
          </w:rPr>
          <w:t xml:space="preserve">https://CRAN.R-project.org/package=officedown</w:t>
        </w:r>
      </w:hyperlink>
      <w:r>
        <w:t xml:space="preserve">.</w:t>
      </w:r>
    </w:p>
    <w:bookmarkEnd w:id="36"/>
    <w:bookmarkStart w:id="37" w:name="ref-shindo_2015"/>
    <w:p>
      <w:pPr>
        <w:pStyle w:val="Bibliographie"/>
      </w:pPr>
      <w:r>
        <w:t xml:space="preserve">Shindo, Mika. 2015.</w:t>
      </w:r>
      <w:r>
        <w:t xml:space="preserve"> </w:t>
      </w:r>
      <w:r>
        <w:t xml:space="preserve">“Subdomains of Temperature Concepts in</w:t>
      </w:r>
      <w:r>
        <w:t xml:space="preserve"> </w:t>
      </w:r>
      <w:r>
        <w:t xml:space="preserve">Japanese</w:t>
      </w:r>
      <w:r>
        <w:t xml:space="preserve">.”</w:t>
      </w:r>
      <w:r>
        <w:t xml:space="preserve"> </w:t>
      </w:r>
      <w:r>
        <w:t xml:space="preserve">In</w:t>
      </w:r>
      <w:r>
        <w:t xml:space="preserve"> </w:t>
      </w:r>
      <w:r>
        <w:rPr>
          <w:iCs/>
          <w:i/>
        </w:rPr>
        <w:t xml:space="preserve">The</w:t>
      </w:r>
      <w:r>
        <w:rPr>
          <w:iCs/>
          <w:i/>
        </w:rPr>
        <w:t xml:space="preserve"> </w:t>
      </w:r>
      <w:r>
        <w:rPr>
          <w:iCs/>
          <w:i/>
        </w:rPr>
        <w:t xml:space="preserve">Linguistics</w:t>
      </w:r>
      <w:r>
        <w:rPr>
          <w:iCs/>
          <w:i/>
        </w:rPr>
        <w:t xml:space="preserve"> </w:t>
      </w:r>
      <w:r>
        <w:rPr>
          <w:iCs/>
          <w:i/>
        </w:rPr>
        <w:t xml:space="preserve">of</w:t>
      </w:r>
      <w:r>
        <w:rPr>
          <w:iCs/>
          <w:i/>
        </w:rPr>
        <w:t xml:space="preserve"> </w:t>
      </w:r>
      <w:r>
        <w:rPr>
          <w:iCs/>
          <w:i/>
        </w:rPr>
        <w:t xml:space="preserve">Temperature</w:t>
      </w:r>
      <w:r>
        <w:t xml:space="preserve">, edited by Maria Koptjevskaja-Tamm, 639–65. Typological</w:t>
      </w:r>
      <w:r>
        <w:t xml:space="preserve"> </w:t>
      </w:r>
      <w:r>
        <w:t xml:space="preserve">Studies</w:t>
      </w:r>
      <w:r>
        <w:t xml:space="preserve"> </w:t>
      </w:r>
      <w:r>
        <w:t xml:space="preserve">in</w:t>
      </w:r>
      <w:r>
        <w:t xml:space="preserve"> </w:t>
      </w:r>
      <w:r>
        <w:t xml:space="preserve">Language</w:t>
      </w:r>
      <w:r>
        <w:t xml:space="preserve">.</w:t>
      </w:r>
      <w:r>
        <w:t xml:space="preserve"> </w:t>
      </w:r>
      <w:r>
        <w:t xml:space="preserve">Amsterdam</w:t>
      </w:r>
      <w:r>
        <w:t xml:space="preserve">:</w:t>
      </w:r>
      <w:r>
        <w:t xml:space="preserve"> </w:t>
      </w:r>
      <w:r>
        <w:t xml:space="preserve">John Benjamins Publishing Company</w:t>
      </w:r>
      <w:r>
        <w:t xml:space="preserve">.</w:t>
      </w:r>
    </w:p>
    <w:bookmarkEnd w:id="37"/>
    <w:bookmarkStart w:id="39" w:name="ref-R-bookdown"/>
    <w:p>
      <w:pPr>
        <w:pStyle w:val="Bibliographie"/>
      </w:pPr>
      <w:r>
        <w:t xml:space="preserve">Xie, Yihui. 2022.</w:t>
      </w:r>
      <w:r>
        <w:t xml:space="preserve"> </w:t>
      </w:r>
      <w:r>
        <w:rPr>
          <w:iCs/>
          <w:i/>
        </w:rPr>
        <w:t xml:space="preserve">Bookdown: Authoring Books and Technical Documents with r Markdown</w:t>
      </w:r>
      <w:r>
        <w:t xml:space="preserve">.</w:t>
      </w:r>
      <w:r>
        <w:t xml:space="preserve"> </w:t>
      </w:r>
      <w:hyperlink r:id="rId38">
        <w:r>
          <w:rPr>
            <w:rStyle w:val="Lienhypertexte"/>
          </w:rPr>
          <w:t xml:space="preserve">https://CRAN.R-project.org/package=bookdown</w:t>
        </w:r>
      </w:hyperlink>
      <w:r>
        <w:t xml:space="preserve">.</w:t>
      </w:r>
    </w:p>
    <w:bookmarkEnd w:id="39"/>
    <w:bookmarkEnd w:id="40"/>
    <w:bookmarkEnd w:id="41"/>
    <w:sectPr>
      <w:pgMar w:header="720" w:bottom="1800" w:top="1800" w:right="720" w:left="720" w:footer="72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Most of my code is designed to avoid typos. Let’s just say that this package would have taken a few hours less if I didn’t constantly write</w:t>
      </w:r>
      <w:r>
        <w:t xml:space="preserve"> </w:t>
      </w:r>
      <w:r>
        <w:rPr>
          <w:iCs/>
          <w:i/>
        </w:rPr>
        <w:t xml:space="preserve">leizpig</w:t>
      </w:r>
      <w:r>
        <w:t xml:space="preserve"> </w:t>
      </w:r>
      <w:r>
        <w:t xml:space="preserve">instead of</w:t>
      </w:r>
      <w:r>
        <w:t xml:space="preserve"> </w:t>
      </w:r>
      <w:r>
        <w:rPr>
          <w:iCs/>
          <w:i/>
        </w:rPr>
        <w:t xml:space="preserve">leipzig</w:t>
      </w:r>
      <w:r>
        <w:t xml:space="preserve">.</w:t>
      </w:r>
    </w:p>
  </w:footnote>
  <w:footnote w:id="21">
    <w:p>
      <w:pPr>
        <w:pStyle w:val="Notedebasdepage"/>
      </w:pPr>
      <w:r>
        <w:rPr>
          <w:rStyle w:val="Appelnotedebasdep"/>
        </w:rPr>
        <w:footnoteRef/>
      </w:r>
      <w:r>
        <w:t xml:space="preserve"> </w:t>
      </w:r>
      <w:r>
        <w:t xml:space="preserve">You can also choose between the default HTML implementation, with</w:t>
      </w:r>
      <w:r>
        <w:t xml:space="preserve"> </w:t>
      </w:r>
      <w:hyperlink r:id="rId22">
        <w:r>
          <w:rPr>
            <w:rStyle w:val="Lienhypertexte"/>
          </w:rPr>
          <w:t xml:space="preserve">leipzig.js</w:t>
        </w:r>
      </w:hyperlink>
      <w:r>
        <w:t xml:space="preserve">, or a</w:t>
      </w:r>
      <w:r>
        <w:t xml:space="preserve"> </w:t>
      </w:r>
      <w:r>
        <w:t xml:space="preserve">“</w:t>
      </w:r>
      <w:r>
        <w:t xml:space="preserve">legacy</w:t>
      </w:r>
      <w:r>
        <w:t xml:space="preserve">”</w:t>
      </w:r>
      <w:r>
        <w:t xml:space="preserve"> </w:t>
      </w:r>
      <w:r>
        <w:t xml:space="preserve">implementation with simple tooltips and up to two glossing lines; do so by running</w:t>
      </w:r>
      <w:r>
        <w:t xml:space="preserve"> </w:t>
      </w:r>
      <w:r>
        <w:rPr>
          <w:rStyle w:val="VerbatimChar"/>
        </w:rPr>
        <w:t xml:space="preserve">use_glossr("tooltip")</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A993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333">
    <w:nsid w:val="A993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334">
    <w:nsid w:val="A993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335">
    <w:nsid w:val="A993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336">
    <w:nsid w:val="A9933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337">
    <w:nsid w:val="A9933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5" Type="http://schemas.openxmlformats.org/officeDocument/2006/relationships/hyperlink" Target="(https://github.com/montesmariana/glossr/raw/main/inst/pdf/glossr_how.word)" TargetMode="External"/>
<Relationship Id="rId38" Type="http://schemas.openxmlformats.org/officeDocument/2006/relationships/hyperlink" Target="https://CRAN.R-project.org/package=bookdown" TargetMode="External"/>
<Relationship Id="rId33" Type="http://schemas.openxmlformats.org/officeDocument/2006/relationships/hyperlink" Target="https://CRAN.R-project.org/package=flextable" TargetMode="External"/>
<Relationship Id="rId35" Type="http://schemas.openxmlformats.org/officeDocument/2006/relationships/hyperlink" Target="https://CRAN.R-project.org/package=officedown" TargetMode="External"/>
<Relationship Id="rId22" Type="http://schemas.openxmlformats.org/officeDocument/2006/relationships/hyperlink" Target="https://bdchauvette.net/leipzig.js/" TargetMode="External"/>
<Relationship Id="rId29" Type="http://schemas.openxmlformats.org/officeDocument/2006/relationships/hyperlink" Target="https://ctan.org/pkg/expex?lang=en" TargetMode="External"/>
<Relationship Id="rId24" Type="http://schemas.openxmlformats.org/officeDocument/2006/relationships/hyperlink" Target="https://github.com/montesmariana/glossr/raw/main/inst/pdf/glossr_how.html" TargetMode="External"/>
<Relationship Id="rId23" Type="http://schemas.openxmlformats.org/officeDocument/2006/relationships/hyperlink" Target="https://github.com/montesmariana/glossr/raw/main/inst/pdf/glossr_how.pdf" TargetMode="External"/>
<Relationship Id="rId31" Type="http://schemas.openxmlformats.org/officeDocument/2006/relationships/hyperlink" Target="https://github.com/rstudio/htmltools" TargetMode="External"/>
</Relationships>

</file>

<file path=word/_rels/footnotes.xml.rels><?xml version="1.0" encoding="UTF-8" standalone="yes"?>

<Relationships  xmlns="http://schemas.openxmlformats.org/package/2006/relationships">
<Relationship Id="rId25" Type="http://schemas.openxmlformats.org/officeDocument/2006/relationships/hyperlink" Target="(https://github.com/montesmariana/glossr/raw/main/inst/pdf/glossr_how.word)" TargetMode="External"/>
<Relationship Id="rId38" Type="http://schemas.openxmlformats.org/officeDocument/2006/relationships/hyperlink" Target="https://CRAN.R-project.org/package=bookdown" TargetMode="External"/>
<Relationship Id="rId33" Type="http://schemas.openxmlformats.org/officeDocument/2006/relationships/hyperlink" Target="https://CRAN.R-project.org/package=flextable" TargetMode="External"/>
<Relationship Id="rId35" Type="http://schemas.openxmlformats.org/officeDocument/2006/relationships/hyperlink" Target="https://CRAN.R-project.org/package=officedown" TargetMode="External"/>
<Relationship Id="rId22" Type="http://schemas.openxmlformats.org/officeDocument/2006/relationships/hyperlink" Target="https://bdchauvette.net/leipzig.js/" TargetMode="External"/>
<Relationship Id="rId29" Type="http://schemas.openxmlformats.org/officeDocument/2006/relationships/hyperlink" Target="https://ctan.org/pkg/expex?lang=en" TargetMode="External"/>
<Relationship Id="rId24" Type="http://schemas.openxmlformats.org/officeDocument/2006/relationships/hyperlink" Target="https://github.com/montesmariana/glossr/raw/main/inst/pdf/glossr_how.html" TargetMode="External"/>
<Relationship Id="rId23" Type="http://schemas.openxmlformats.org/officeDocument/2006/relationships/hyperlink" Target="https://github.com/montesmariana/glossr/raw/main/inst/pdf/glossr_how.pdf" TargetMode="External"/>
<Relationship Id="rId31" Type="http://schemas.openxmlformats.org/officeDocument/2006/relationships/hyperlink" Target="https://github.com/rstudio/html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Using the glossr package</dc:title>
  <dc:creator>Mariana Montes</dc:creator>
  <cp:keywords/>
  <dcterms:created xsi:type="dcterms:W3CDTF">2022-05-09T08:38:33Z</dcterms:created>
  <dcterms:modified xsi:type="dcterms:W3CDTF">2022-05-09T10:38:34Z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2022-05-09</vt:lpwstr>
  </property>
  <property fmtid="{D5CDD505-2E9C-101B-9397-08002B2CF9AE}" pid="4" name="output">
    <vt:lpwstr/>
  </property>
</Properties>
</file>