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18"/>
          <w:szCs w:val="18"/>
        </w:rPr>
        <w:t xml:space="preserve"> </w:t>
      </w:r>
    </w:p>
    <w:p>
      <w:r>
        <w:rPr>
          <w:sz w:val="18"/>
          <w:szCs w:val="18"/>
        </w:rPr>
        <w:t xml:space="preserve"> </w:t>
      </w:r>
    </w:p>
    <w:p>
      <w:r>
        <w:rPr>
          <w:sz w:val="18"/>
          <w:szCs w:val="18"/>
        </w:rPr>
        <w:t xml:space="preserve"> </w:t>
      </w:r>
    </w:p>
    <w:p>
      <w:pPr>
        <w:jc w:val="center"/>
      </w:pPr>
      <w:r>
        <w:rPr>
          <w:rFonts w:ascii="Arial" w:cs="Arial" w:eastAsia="Arial" w:hAnsi="Arial"/>
          <w:b/>
          <w:bCs/>
          <w:color w:val="1F3864"/>
          <w:sz w:val="36"/>
          <w:szCs w:val="36"/>
        </w:rPr>
        <w:t xml:space="preserve">METALFORM S.A. de C.V.</w:t>
      </w:r>
    </w:p>
    <w:p>
      <w:r>
        <w:rPr>
          <w:sz w:val="18"/>
          <w:szCs w:val="18"/>
        </w:rPr>
        <w:t xml:space="preserve"> </w:t>
      </w:r>
    </w:p>
    <w:p>
      <w:pPr>
        <w:jc w:val="center"/>
      </w:pPr>
      <w:r>
        <w:rPr>
          <w:rFonts w:ascii="Arial" w:cs="Arial" w:eastAsia="Arial" w:hAnsi="Arial"/>
          <w:b/>
          <w:bCs/>
          <w:color w:val="1F3864"/>
          <w:sz w:val="44"/>
          <w:szCs w:val="44"/>
        </w:rPr>
        <w:t xml:space="preserve">PROGRAMA DE SEGURIDAD</w:t>
      </w:r>
    </w:p>
    <w:p>
      <w:pPr>
        <w:jc w:val="center"/>
      </w:pPr>
      <w:r>
        <w:rPr>
          <w:rFonts w:ascii="Arial" w:cs="Arial" w:eastAsia="Arial" w:hAnsi="Arial"/>
          <w:b/>
          <w:bCs/>
          <w:color w:val="2E75B6"/>
          <w:sz w:val="34"/>
          <w:szCs w:val="34"/>
        </w:rPr>
        <w:t xml:space="preserve">CONTROL DE VIBRACIÓN OCUPACIONAL</w:t>
      </w:r>
    </w:p>
    <w:p>
      <w:pPr>
        <w:jc w:val="center"/>
      </w:pPr>
      <w:r>
        <w:rPr>
          <w:rFonts w:ascii="Arial" w:cs="Arial" w:eastAsia="Arial" w:hAnsi="Arial"/>
          <w:color w:val="555555"/>
          <w:sz w:val="26"/>
          <w:szCs w:val="26"/>
        </w:rPr>
        <w:t xml:space="preserve">Dobladoras, Troqueladoras y Herramientas Manuales</w:t>
      </w:r>
    </w:p>
    <w:p>
      <w:r>
        <w:rPr>
          <w:sz w:val="18"/>
          <w:szCs w:val="18"/>
        </w:rPr>
        <w:t xml:space="preserve"> </w:t>
      </w:r>
    </w:p>
    <w:p>
      <w:r>
        <w:rPr>
          <w:sz w:val="18"/>
          <w:szCs w:val="18"/>
        </w:rPr>
        <w:t xml:space="preserve"> </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Documento: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HSE-PRG-VIB-003</w:t>
            </w:r>
          </w:p>
        </w:tc>
      </w:tr>
      <w:tr>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Revisión: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01</w:t>
            </w:r>
          </w:p>
        </w:tc>
      </w:tr>
      <w:tr>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Fecha de efectividad: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2026-03-23</w:t>
            </w:r>
          </w:p>
        </w:tc>
      </w:tr>
      <w:tr>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Departamento: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HSE / Calidad</w:t>
            </w:r>
          </w:p>
        </w:tc>
      </w:tr>
      <w:tr>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Estado: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Emitido</w:t>
            </w:r>
          </w:p>
        </w:tc>
      </w:tr>
      <w:tr>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Elaboró:</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Sergio Montes Cruz</w:t>
            </w:r>
          </w:p>
        </w:tc>
      </w:tr>
      <w:tr>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Idioma original: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Español</w:t>
            </w:r>
          </w:p>
        </w:tc>
      </w:tr>
    </w:tbl>
    <w:p>
      <w:r>
        <w:rPr>
          <w:sz w:val="18"/>
          <w:szCs w:val="18"/>
        </w:rPr>
        <w:t xml:space="preserve"> </w:t>
      </w:r>
    </w:p>
    <w:p>
      <w:r>
        <w:rPr>
          <w:sz w:val="18"/>
          <w:szCs w:val="18"/>
        </w:rPr>
        <w:t xml:space="preserve"> </w:t>
      </w:r>
    </w:p>
    <w:p>
      <w:pPr>
        <w:jc w:val="center"/>
      </w:pPr>
      <w:r>
        <w:rPr>
          <w:rFonts w:ascii="Arial" w:cs="Arial" w:eastAsia="Arial" w:hAnsi="Arial"/>
          <w:color w:val="888888"/>
          <w:sz w:val="16"/>
          <w:szCs w:val="16"/>
        </w:rPr>
        <w:t xml:space="preserve">Este documento es de uso interno. Su reproducción parcial o total sin autorización está prohibida.</w:t>
      </w:r>
    </w:p>
    <w:p>
      <w:r>
        <w:br w:type="page"/>
      </w:r>
    </w:p>
    <w:p>
      <w:pPr>
        <w:pStyle w:val="Heading1"/>
      </w:pPr>
      <w:r>
        <w:rPr>
          <w:rFonts w:ascii="Arial" w:cs="Arial" w:eastAsia="Arial" w:hAnsi="Arial"/>
          <w:b/>
          <w:bCs/>
          <w:color w:val="1F3864"/>
          <w:sz w:val="30"/>
          <w:szCs w:val="30"/>
        </w:rPr>
        <w:t xml:space="preserve">ÍNDICE DE CONTENIDO</w:t>
      </w:r>
    </w:p>
    <w:p>
      <w:pPr>
        <w:spacing w:after="80"/>
      </w:pPr>
      <w:r>
        <w:rPr>
          <w:rFonts w:ascii="Arial" w:cs="Arial" w:eastAsia="Arial" w:hAnsi="Arial"/>
          <w:sz w:val="20"/>
          <w:szCs w:val="20"/>
        </w:rPr>
        <w:t xml:space="preserve">1.  Introducción y declaración de compromiso</w:t>
      </w:r>
    </w:p>
    <w:p>
      <w:pPr>
        <w:spacing w:after="80"/>
      </w:pPr>
      <w:r>
        <w:rPr>
          <w:rFonts w:ascii="Arial" w:cs="Arial" w:eastAsia="Arial" w:hAnsi="Arial"/>
          <w:sz w:val="20"/>
          <w:szCs w:val="20"/>
        </w:rPr>
        <w:t xml:space="preserve">2.  Objetivo</w:t>
      </w:r>
    </w:p>
    <w:p>
      <w:pPr>
        <w:spacing w:after="80"/>
      </w:pPr>
      <w:r>
        <w:rPr>
          <w:rFonts w:ascii="Arial" w:cs="Arial" w:eastAsia="Arial" w:hAnsi="Arial"/>
          <w:sz w:val="20"/>
          <w:szCs w:val="20"/>
        </w:rPr>
        <w:t xml:space="preserve">3.  Alcance</w:t>
      </w:r>
    </w:p>
    <w:p>
      <w:pPr>
        <w:spacing w:after="80"/>
      </w:pPr>
      <w:r>
        <w:rPr>
          <w:rFonts w:ascii="Arial" w:cs="Arial" w:eastAsia="Arial" w:hAnsi="Arial"/>
          <w:sz w:val="20"/>
          <w:szCs w:val="20"/>
        </w:rPr>
        <w:t xml:space="preserve">4.  Marco normativo y referencias técnicas</w:t>
      </w:r>
    </w:p>
    <w:p>
      <w:pPr>
        <w:spacing w:after="80"/>
      </w:pPr>
      <w:r>
        <w:rPr>
          <w:rFonts w:ascii="Arial" w:cs="Arial" w:eastAsia="Arial" w:hAnsi="Arial"/>
          <w:sz w:val="20"/>
          <w:szCs w:val="20"/>
        </w:rPr>
        <w:t xml:space="preserve">5.  Tipos de vibración ocupacional y sus efectos</w:t>
      </w:r>
    </w:p>
    <w:p>
      <w:pPr>
        <w:spacing w:after="80"/>
      </w:pPr>
      <w:r>
        <w:rPr>
          <w:rFonts w:ascii="Arial" w:cs="Arial" w:eastAsia="Arial" w:hAnsi="Arial"/>
          <w:sz w:val="20"/>
          <w:szCs w:val="20"/>
        </w:rPr>
        <w:t xml:space="preserve">6.  Hallazgo crítico: ausencia de medición formal</w:t>
      </w:r>
    </w:p>
    <w:p>
      <w:pPr>
        <w:spacing w:after="80"/>
      </w:pPr>
      <w:r>
        <w:rPr>
          <w:rFonts w:ascii="Arial" w:cs="Arial" w:eastAsia="Arial" w:hAnsi="Arial"/>
          <w:sz w:val="20"/>
          <w:szCs w:val="20"/>
        </w:rPr>
        <w:t xml:space="preserve">7.  Fuentes de vibración identificadas en METALFORM</w:t>
      </w:r>
    </w:p>
    <w:p>
      <w:pPr>
        <w:spacing w:after="80"/>
      </w:pPr>
      <w:r>
        <w:rPr>
          <w:rFonts w:ascii="Arial" w:cs="Arial" w:eastAsia="Arial" w:hAnsi="Arial"/>
          <w:sz w:val="20"/>
          <w:szCs w:val="20"/>
        </w:rPr>
        <w:t xml:space="preserve">8.  Valores límite de exposición (VLE) y valores de acción (VA)</w:t>
      </w:r>
    </w:p>
    <w:p>
      <w:pPr>
        <w:spacing w:after="80"/>
      </w:pPr>
      <w:r>
        <w:rPr>
          <w:rFonts w:ascii="Arial" w:cs="Arial" w:eastAsia="Arial" w:hAnsi="Arial"/>
          <w:sz w:val="20"/>
          <w:szCs w:val="20"/>
        </w:rPr>
        <w:t xml:space="preserve">9.  Controles por jerarquía</w:t>
      </w:r>
    </w:p>
    <w:p>
      <w:pPr>
        <w:spacing w:after="80"/>
      </w:pPr>
      <w:r>
        <w:rPr>
          <w:rFonts w:ascii="Arial" w:cs="Arial" w:eastAsia="Arial" w:hAnsi="Arial"/>
          <w:sz w:val="20"/>
          <w:szCs w:val="20"/>
        </w:rPr>
        <w:t xml:space="preserve">10.  Equipos de protección y ayudas ergonómicas</w:t>
      </w:r>
    </w:p>
    <w:p>
      <w:pPr>
        <w:spacing w:after="80"/>
      </w:pPr>
      <w:r>
        <w:rPr>
          <w:rFonts w:ascii="Arial" w:cs="Arial" w:eastAsia="Arial" w:hAnsi="Arial"/>
          <w:sz w:val="20"/>
          <w:szCs w:val="20"/>
        </w:rPr>
        <w:t xml:space="preserve">11.  Procedimiento seguro en operación de maquinaria vibratoria</w:t>
      </w:r>
    </w:p>
    <w:p>
      <w:pPr>
        <w:spacing w:after="80"/>
      </w:pPr>
      <w:r>
        <w:rPr>
          <w:rFonts w:ascii="Arial" w:cs="Arial" w:eastAsia="Arial" w:hAnsi="Arial"/>
          <w:sz w:val="20"/>
          <w:szCs w:val="20"/>
        </w:rPr>
        <w:t xml:space="preserve">12.  Check list de verificación</w:t>
      </w:r>
    </w:p>
    <w:p>
      <w:pPr>
        <w:spacing w:after="80"/>
      </w:pPr>
      <w:r>
        <w:rPr>
          <w:rFonts w:ascii="Arial" w:cs="Arial" w:eastAsia="Arial" w:hAnsi="Arial"/>
          <w:sz w:val="20"/>
          <w:szCs w:val="20"/>
        </w:rPr>
        <w:t xml:space="preserve">13.  Programa de capacitación</w:t>
      </w:r>
    </w:p>
    <w:p>
      <w:pPr>
        <w:spacing w:after="80"/>
      </w:pPr>
      <w:r>
        <w:rPr>
          <w:rFonts w:ascii="Arial" w:cs="Arial" w:eastAsia="Arial" w:hAnsi="Arial"/>
          <w:sz w:val="20"/>
          <w:szCs w:val="20"/>
        </w:rPr>
        <w:t xml:space="preserve">14.  Vigilancia a la salud</w:t>
      </w:r>
    </w:p>
    <w:p>
      <w:pPr>
        <w:spacing w:after="80"/>
      </w:pPr>
      <w:r>
        <w:rPr>
          <w:rFonts w:ascii="Arial" w:cs="Arial" w:eastAsia="Arial" w:hAnsi="Arial"/>
          <w:sz w:val="20"/>
          <w:szCs w:val="20"/>
        </w:rPr>
        <w:t xml:space="preserve">15.  KPIs, registros y control de cambios</w:t>
      </w:r>
    </w:p>
    <w:p>
      <w:r>
        <w:br w:type="page"/>
      </w:r>
    </w:p>
    <w:p>
      <w:pPr>
        <w:pStyle w:val="Heading1"/>
      </w:pPr>
      <w:r>
        <w:rPr>
          <w:rFonts w:ascii="Arial" w:cs="Arial" w:eastAsia="Arial" w:hAnsi="Arial"/>
          <w:b/>
          <w:bCs/>
          <w:color w:val="1F3864"/>
          <w:sz w:val="30"/>
          <w:szCs w:val="30"/>
        </w:rPr>
        <w:t xml:space="preserve">1. Introducción y declaración de compromiso</w:t>
      </w:r>
    </w:p>
    <w:p>
      <w:pPr>
        <w:spacing w:after="100"/>
      </w:pPr>
      <w:r>
        <w:rPr>
          <w:rFonts w:ascii="Arial" w:cs="Arial" w:eastAsia="Arial" w:hAnsi="Arial"/>
          <w:color w:val="000000"/>
          <w:sz w:val="20"/>
          <w:szCs w:val="20"/>
        </w:rPr>
        <w:t xml:space="preserve">La vibración ocupacional es un factor de riesgo físico que afecta a los trabajadores a través de dos vías principales: la vibración mano-brazo (VMB), transmitida mediante herramientas y maquinaria sostenida con las manos, y la vibración de cuerpo entero (VCE), transmitida a través del asiento o plataforma donde el trabajador permanece de pie o sentado.</w:t>
      </w:r>
    </w:p>
    <w:p>
      <w:pPr>
        <w:spacing w:after="100"/>
      </w:pPr>
      <w:r>
        <w:rPr>
          <w:rFonts w:ascii="Arial" w:cs="Arial" w:eastAsia="Arial" w:hAnsi="Arial"/>
          <w:color w:val="000000"/>
          <w:sz w:val="20"/>
          <w:szCs w:val="20"/>
        </w:rPr>
        <w:t xml:space="preserve">En el proceso de fabricación de exhibidores metálicos de METALFORM S.A. de C.V., las dobladoras CNC, troqueladoras de impacto, cortadoras y pulidoras angulares generan niveles de vibración que, acumulados durante la jornada laboral, pueden provocar trastornos musculoesqueléticos, síndrome de vibración mano-brazo (SVMB), fenómeno de Raynaud ocupacional y daño articular progresivo.</w:t>
      </w:r>
    </w:p>
    <w:p>
      <w:pPr>
        <w:spacing w:after="100"/>
      </w:pPr>
      <w:r>
        <w:rPr>
          <w:rFonts w:ascii="Arial" w:cs="Arial" w:eastAsia="Arial" w:hAnsi="Arial"/>
          <w:color w:val="000000"/>
          <w:sz w:val="20"/>
          <w:szCs w:val="20"/>
        </w:rPr>
        <w:t xml:space="preserve">A diferencia del ruido, la vibración ocupacional produce daños silenciosos y acumulativos que pueden tardar años en manifestarse clínicamente, lo que hace que frecuentemente se subestime hasta que las lesiones son irreversibles.</w:t>
      </w:r>
    </w:p>
    <w:p>
      <w:r>
        <w:rPr>
          <w:sz w:val="18"/>
          <w:szCs w:val="18"/>
        </w:rPr>
        <w:t xml:space="preserve"> </w:t>
      </w:r>
    </w:p>
    <w:p>
      <w:pPr>
        <w:spacing w:after="100"/>
      </w:pPr>
      <w:r>
        <w:rPr>
          <w:rFonts w:ascii="Arial" w:cs="Arial" w:eastAsia="Arial" w:hAnsi="Arial"/>
          <w:color w:val="1F3864"/>
          <w:sz w:val="20"/>
          <w:szCs w:val="20"/>
        </w:rPr>
        <w:t xml:space="preserve">La dirección de METALFORM se compromete a evaluar, controlar y reducir la exposición a vibración de su personal, implementando controles técnicos progresivos, dotando de equipos de protección adecuados y estableciendo un programa de vigilancia médica preventiva.</w:t>
      </w:r>
    </w:p>
    <w:p>
      <w:r>
        <w:rPr>
          <w:sz w:val="18"/>
          <w:szCs w:val="18"/>
        </w:rPr>
        <w:t xml:space="preserve"> </w:t>
      </w:r>
    </w:p>
    <w:p>
      <w:pPr>
        <w:pStyle w:val="Heading1"/>
      </w:pPr>
      <w:r>
        <w:rPr>
          <w:rFonts w:ascii="Arial" w:cs="Arial" w:eastAsia="Arial" w:hAnsi="Arial"/>
          <w:b/>
          <w:bCs/>
          <w:color w:val="1F3864"/>
          <w:sz w:val="30"/>
          <w:szCs w:val="30"/>
        </w:rPr>
        <w:t xml:space="preserve">2. Objetivo</w:t>
      </w:r>
    </w:p>
    <w:p>
      <w:pPr>
        <w:spacing w:after="100"/>
      </w:pPr>
      <w:r>
        <w:rPr>
          <w:rFonts w:ascii="Arial" w:cs="Arial" w:eastAsia="Arial" w:hAnsi="Arial"/>
          <w:color w:val="000000"/>
          <w:sz w:val="20"/>
          <w:szCs w:val="20"/>
        </w:rPr>
        <w:t xml:space="preserve">Prevenir los trastornos musculoesqueléticos y vasculares derivados de la exposición a vibración ocupacional en el personal de METALFORM, mediante la identificación de fuentes, implementación de controles por jerarquía, dotación de EPP y establecimiento de un programa de vigilancia a la salud.</w:t>
      </w:r>
    </w:p>
    <w:p>
      <w:r>
        <w:rPr>
          <w:sz w:val="18"/>
          <w:szCs w:val="18"/>
        </w:rPr>
        <w:t xml:space="preserve"> </w:t>
      </w:r>
    </w:p>
    <w:p>
      <w:pPr>
        <w:pStyle w:val="Heading1"/>
      </w:pPr>
      <w:r>
        <w:rPr>
          <w:rFonts w:ascii="Arial" w:cs="Arial" w:eastAsia="Arial" w:hAnsi="Arial"/>
          <w:b/>
          <w:bCs/>
          <w:color w:val="1F3864"/>
          <w:sz w:val="30"/>
          <w:szCs w:val="30"/>
        </w:rPr>
        <w:t xml:space="preserve">3. Alcance</w:t>
      </w:r>
    </w:p>
    <w:p>
      <w:pPr>
        <w:spacing w:after="100"/>
      </w:pPr>
      <w:r>
        <w:rPr>
          <w:rFonts w:ascii="Arial" w:cs="Arial" w:eastAsia="Arial" w:hAnsi="Arial"/>
          <w:color w:val="000000"/>
          <w:sz w:val="20"/>
          <w:szCs w:val="20"/>
        </w:rPr>
        <w:t xml:space="preserve">Este programa aplica a:</w:t>
      </w:r>
    </w:p>
    <w:p>
      <w:pPr>
        <w:pStyle w:val="ListParagraph"/>
        <w:numPr>
          <w:ilvl w:val="0"/>
          <w:numId w:val="2"/>
        </w:numPr>
      </w:pPr>
      <w:r>
        <w:rPr>
          <w:rFonts w:ascii="Arial" w:cs="Arial" w:eastAsia="Arial" w:hAnsi="Arial"/>
          <w:sz w:val="20"/>
          <w:szCs w:val="20"/>
        </w:rPr>
        <w:t xml:space="preserve">Operadores de dobladoras CNC y troqueladoras de impacto</w:t>
      </w:r>
    </w:p>
    <w:p>
      <w:pPr>
        <w:pStyle w:val="ListParagraph"/>
        <w:numPr>
          <w:ilvl w:val="0"/>
          <w:numId w:val="2"/>
        </w:numPr>
      </w:pPr>
      <w:r>
        <w:rPr>
          <w:rFonts w:ascii="Arial" w:cs="Arial" w:eastAsia="Arial" w:hAnsi="Arial"/>
          <w:sz w:val="20"/>
          <w:szCs w:val="20"/>
        </w:rPr>
        <w:t xml:space="preserve">Operadores de cortadoras de alambrón y disco</w:t>
      </w:r>
    </w:p>
    <w:p>
      <w:pPr>
        <w:pStyle w:val="ListParagraph"/>
        <w:numPr>
          <w:ilvl w:val="0"/>
          <w:numId w:val="2"/>
        </w:numPr>
      </w:pPr>
      <w:r>
        <w:rPr>
          <w:rFonts w:ascii="Arial" w:cs="Arial" w:eastAsia="Arial" w:hAnsi="Arial"/>
          <w:sz w:val="20"/>
          <w:szCs w:val="20"/>
        </w:rPr>
        <w:t xml:space="preserve">Operadores de pulidoras y esmeriladoras angulares</w:t>
      </w:r>
    </w:p>
    <w:p>
      <w:pPr>
        <w:pStyle w:val="ListParagraph"/>
        <w:numPr>
          <w:ilvl w:val="0"/>
          <w:numId w:val="2"/>
        </w:numPr>
      </w:pPr>
      <w:r>
        <w:rPr>
          <w:rFonts w:ascii="Arial" w:cs="Arial" w:eastAsia="Arial" w:hAnsi="Arial"/>
          <w:sz w:val="20"/>
          <w:szCs w:val="20"/>
        </w:rPr>
        <w:t xml:space="preserve">Personal de mantenimiento que utiliza herramientas vibradoras</w:t>
      </w:r>
    </w:p>
    <w:p>
      <w:pPr>
        <w:pStyle w:val="ListParagraph"/>
        <w:numPr>
          <w:ilvl w:val="0"/>
          <w:numId w:val="2"/>
        </w:numPr>
      </w:pPr>
      <w:r>
        <w:rPr>
          <w:rFonts w:ascii="Arial" w:cs="Arial" w:eastAsia="Arial" w:hAnsi="Arial"/>
          <w:sz w:val="20"/>
          <w:szCs w:val="20"/>
        </w:rPr>
        <w:t xml:space="preserve">Supervisores y personal de HSE que realizan recorridos en áreas de producción</w:t>
      </w:r>
    </w:p>
    <w:p>
      <w:r>
        <w:rPr>
          <w:sz w:val="18"/>
          <w:szCs w:val="18"/>
        </w:rPr>
        <w:t xml:space="preserve"> </w:t>
      </w:r>
    </w:p>
    <w:p>
      <w:pPr>
        <w:pStyle w:val="Heading1"/>
      </w:pPr>
      <w:r>
        <w:rPr>
          <w:rFonts w:ascii="Arial" w:cs="Arial" w:eastAsia="Arial" w:hAnsi="Arial"/>
          <w:b/>
          <w:bCs/>
          <w:color w:val="1F3864"/>
          <w:sz w:val="30"/>
          <w:szCs w:val="30"/>
        </w:rPr>
        <w:t xml:space="preserve">4. Marco normativo y referencias técnicas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Norma / Referencia</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NOM-036-1-STPS-2018</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Factores de riesgo ergonómico en el trabajo — identificación, análisis, prevención y control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ISO 5349-1:2001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Vibración mecánica — medición y evaluación de vibración mano-brazo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ISO 2631-1:1997</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Vibración mecánica y choque — evaluación de vibración de cuerpo entero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Directiva Europea 2002/44/CE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Disposiciones mínimas de seguridad para vibración (referencia técnica internacional)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ISO 45001:2018</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Sistemas de gestión de seguridad y salud en el trabajo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NOM-017-STPS-2008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Equipo de protección personal — selección, uso y manejo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 Federal SST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Reglamento Federal de Seguridad y Salud en el Trabajo</w:t>
            </w:r>
          </w:p>
        </w:tc>
      </w:tr>
    </w:tbl>
    <w:p>
      <w:r>
        <w:rPr>
          <w:sz w:val="18"/>
          <w:szCs w:val="18"/>
        </w:rPr>
        <w:t xml:space="preserve"> </w:t>
      </w:r>
    </w:p>
    <w:p>
      <w:pPr>
        <w:pStyle w:val="Heading1"/>
      </w:pPr>
      <w:r>
        <w:rPr>
          <w:rFonts w:ascii="Arial" w:cs="Arial" w:eastAsia="Arial" w:hAnsi="Arial"/>
          <w:b/>
          <w:bCs/>
          <w:color w:val="1F3864"/>
          <w:sz w:val="30"/>
          <w:szCs w:val="30"/>
        </w:rPr>
        <w:t xml:space="preserve">5. Tipos de vibración ocupacional y sus efectos</w:t>
      </w:r>
    </w:p>
    <w:p>
      <w:pPr>
        <w:pStyle w:val="Heading2"/>
      </w:pPr>
      <w:r>
        <w:rPr>
          <w:rFonts w:ascii="Arial" w:cs="Arial" w:eastAsia="Arial" w:hAnsi="Arial"/>
          <w:b/>
          <w:bCs/>
          <w:color w:val="2E75B6"/>
          <w:sz w:val="24"/>
          <w:szCs w:val="24"/>
        </w:rPr>
        <w:t xml:space="preserve">5.1 Vibración mano-brazo (VMB)</w:t>
      </w:r>
    </w:p>
    <w:p>
      <w:pPr>
        <w:spacing w:after="100"/>
      </w:pPr>
      <w:r>
        <w:rPr>
          <w:rFonts w:ascii="Arial" w:cs="Arial" w:eastAsia="Arial" w:hAnsi="Arial"/>
          <w:color w:val="000000"/>
          <w:sz w:val="20"/>
          <w:szCs w:val="20"/>
        </w:rPr>
        <w:t xml:space="preserve">Se transmite a través de herramientas o maquinaria sostenida con las manos. Es el tipo de vibración más relevante para el personal de METALFORM dado el uso de pulidoras, cortadoras y el contacto directo con piezas en proceso de doblado y troquelado.</w:t>
      </w:r>
    </w:p>
    <w:p>
      <w:r>
        <w:rPr>
          <w:sz w:val="18"/>
          <w:szCs w:val="18"/>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Efecto en salud</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Síndrome de vibración mano-brazo (SVMB)</w:t>
            </w:r>
          </w:p>
        </w:tc>
        <w:tc>
          <w:tcPr>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Conjunto de trastornos vasculares, neurológicos y musculoesqueléticos causados por exposición crónica a VMB.</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Fenómeno de Raynaud ocupacional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Palidez, cianosis y dolor en dedos por vasoconstricción. También llamado 'dedos blancos'. Puede ser permanente.</w:t>
            </w:r>
          </w:p>
        </w:tc>
      </w:tr>
      <w:tr>
        <w:tc>
          <w:tcPr>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Neuropatía periférica</w:t>
            </w:r>
          </w:p>
        </w:tc>
        <w:tc>
          <w:tcPr>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Entumecimiento, hormigueo y pérdida de sensibilidad en manos y dedos.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Daño articular y muscular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Artritis, tendinitis, síndrome del túnel carpiano, deterioro de articulaciones del codo y hombro.</w:t>
            </w:r>
          </w:p>
        </w:tc>
      </w:tr>
    </w:tbl>
    <w:p>
      <w:r>
        <w:rPr>
          <w:sz w:val="18"/>
          <w:szCs w:val="18"/>
        </w:rPr>
        <w:t xml:space="preserve"> </w:t>
      </w:r>
    </w:p>
    <w:p>
      <w:pPr>
        <w:pStyle w:val="Heading2"/>
      </w:pPr>
      <w:r>
        <w:rPr>
          <w:rFonts w:ascii="Arial" w:cs="Arial" w:eastAsia="Arial" w:hAnsi="Arial"/>
          <w:b/>
          <w:bCs/>
          <w:color w:val="2E75B6"/>
          <w:sz w:val="24"/>
          <w:szCs w:val="24"/>
        </w:rPr>
        <w:t xml:space="preserve">5.2 Vibración de cuerpo entero (VCE)</w:t>
      </w:r>
    </w:p>
    <w:p>
      <w:pPr>
        <w:spacing w:after="100"/>
      </w:pPr>
      <w:r>
        <w:rPr>
          <w:rFonts w:ascii="Arial" w:cs="Arial" w:eastAsia="Arial" w:hAnsi="Arial"/>
          <w:color w:val="000000"/>
          <w:sz w:val="20"/>
          <w:szCs w:val="20"/>
        </w:rPr>
        <w:t xml:space="preserve">Se transmite a través del suelo o plataforma donde el trabajador está de pie. En METALFORM aplica principalmente al personal que permanece largo tiempo junto a maquinaria pesada en operación. Sus efectos incluyen lumbalgia crónica, deterioro de discos intervertebrales y fatiga musculoesquelética generalizada.</w:t>
      </w:r>
    </w:p>
    <w:p>
      <w:r>
        <w:rPr>
          <w:sz w:val="18"/>
          <w:szCs w:val="18"/>
        </w:rPr>
        <w:t xml:space="preserve"> </w:t>
      </w:r>
    </w:p>
    <w:p>
      <w:pPr>
        <w:pStyle w:val="Heading1"/>
      </w:pPr>
      <w:r>
        <w:rPr>
          <w:rFonts w:ascii="Arial" w:cs="Arial" w:eastAsia="Arial" w:hAnsi="Arial"/>
          <w:b/>
          <w:bCs/>
          <w:color w:val="1F3864"/>
          <w:sz w:val="30"/>
          <w:szCs w:val="30"/>
        </w:rPr>
        <w:t xml:space="preserve">6. Hallazgo crítico: ausencia de medición formal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r>
              <w:rPr>
                <w:rFonts w:ascii="Arial" w:cs="Arial" w:eastAsia="Arial" w:hAnsi="Arial"/>
                <w:b/>
                <w:bCs/>
                <w:color w:val="856404"/>
                <w:sz w:val="22"/>
                <w:szCs w:val="22"/>
              </w:rPr>
              <w:t xml:space="preserve">⚠  HALLAZGO — ACCIÓN REQUERIDA EN PLAZO DEFINIDO</w:t>
            </w:r>
          </w:p>
          <w:p>
            <w:pPr>
              <w:spacing w:after="60"/>
            </w:pPr>
            <w:r>
              <w:rPr>
                <w:rFonts w:ascii="Arial" w:cs="Arial" w:eastAsia="Arial" w:hAnsi="Arial"/>
                <w:color w:val="333333"/>
                <w:sz w:val="20"/>
                <w:szCs w:val="20"/>
              </w:rPr>
              <w:t xml:space="preserve">Al momento de la emisión de este programa, METALFORM S.A. de C.V. no cuenta con mediciones formales de vibración ocupacional mediante acelerómetro calibrado, ni con un estudio ergonómico integral que incluya este factor de riesgo.</w:t>
            </w:r>
          </w:p>
          <w:p>
            <w:pPr>
              <w:spacing w:after="60"/>
            </w:pPr>
            <w:r>
              <w:rPr>
                <w:rFonts w:ascii="Arial" w:cs="Arial" w:eastAsia="Arial" w:hAnsi="Arial"/>
                <w:color w:val="333333"/>
                <w:sz w:val="20"/>
                <w:szCs w:val="20"/>
              </w:rPr>
              <w:t xml:space="preserve"/>
            </w:r>
          </w:p>
          <w:p>
            <w:pPr>
              <w:spacing w:after="60"/>
            </w:pPr>
            <w:r>
              <w:rPr>
                <w:rFonts w:ascii="Arial" w:cs="Arial" w:eastAsia="Arial" w:hAnsi="Arial"/>
                <w:color w:val="333333"/>
                <w:sz w:val="20"/>
                <w:szCs w:val="20"/>
              </w:rPr>
              <w:t xml:space="preserve">Implicaciones del incumplimiento:</w:t>
            </w:r>
          </w:p>
          <w:p>
            <w:pPr>
              <w:spacing w:after="60"/>
            </w:pPr>
            <w:r>
              <w:rPr>
                <w:rFonts w:ascii="Arial" w:cs="Arial" w:eastAsia="Arial" w:hAnsi="Arial"/>
                <w:color w:val="333333"/>
                <w:sz w:val="20"/>
                <w:szCs w:val="20"/>
              </w:rPr>
              <w:t xml:space="preserve">• Imposibilidad de verificar si los niveles superan los Valores de Acción (VA) o Valores Límite de Exposición (VLE) establecidos internacionalmente</w:t>
            </w:r>
          </w:p>
          <w:p>
            <w:pPr>
              <w:spacing w:after="60"/>
            </w:pPr>
            <w:r>
              <w:rPr>
                <w:rFonts w:ascii="Arial" w:cs="Arial" w:eastAsia="Arial" w:hAnsi="Arial"/>
                <w:color w:val="333333"/>
                <w:sz w:val="20"/>
                <w:szCs w:val="20"/>
              </w:rPr>
              <w:t xml:space="preserve">• Riesgo de enfermedades profesionales no detectadas a tiempo: SVMB, fenómeno de Raynaud, daño articular</w:t>
            </w:r>
          </w:p>
          <w:p>
            <w:pPr>
              <w:spacing w:after="60"/>
            </w:pPr>
            <w:r>
              <w:rPr>
                <w:rFonts w:ascii="Arial" w:cs="Arial" w:eastAsia="Arial" w:hAnsi="Arial"/>
                <w:color w:val="333333"/>
                <w:sz w:val="20"/>
                <w:szCs w:val="20"/>
              </w:rPr>
              <w:t xml:space="preserve">• Responsabilidad laboral ante demandas por enfermedades músculo-esqueléticas de origen ocupacional</w:t>
            </w:r>
          </w:p>
          <w:p>
            <w:pPr>
              <w:spacing w:after="60"/>
            </w:pPr>
            <w:r>
              <w:rPr>
                <w:rFonts w:ascii="Arial" w:cs="Arial" w:eastAsia="Arial" w:hAnsi="Arial"/>
                <w:color w:val="333333"/>
                <w:sz w:val="20"/>
                <w:szCs w:val="20"/>
              </w:rPr>
              <w:t xml:space="preserve">• Incumplimiento de la NOM-036-1-STPS-2018 que exige la evaluación de factores ergonómicos</w:t>
            </w:r>
          </w:p>
          <w:p>
            <w:pPr>
              <w:spacing w:after="60"/>
            </w:pPr>
            <w:r>
              <w:rPr>
                <w:rFonts w:ascii="Arial" w:cs="Arial" w:eastAsia="Arial" w:hAnsi="Arial"/>
                <w:color w:val="333333"/>
                <w:sz w:val="20"/>
                <w:szCs w:val="20"/>
              </w:rPr>
              <w:t xml:space="preserve"/>
            </w:r>
          </w:p>
          <w:p>
            <w:pPr>
              <w:spacing w:after="60"/>
            </w:pPr>
            <w:r>
              <w:rPr>
                <w:rFonts w:ascii="Arial" w:cs="Arial" w:eastAsia="Arial" w:hAnsi="Arial"/>
                <w:color w:val="333333"/>
                <w:sz w:val="20"/>
                <w:szCs w:val="20"/>
              </w:rPr>
              <w:t xml:space="preserve">Acción requerida: Contratar o ejecutar estudio de vibración ocupacional con acelerómetro tipo 1 (ISO 5349-1 para VMB / ISO 2631-1 para VCE) en un plazo no mayor a 90 días. Mientras tanto, aplicar los controles precautorios de las secciones 9 y 10.</w:t>
            </w:r>
          </w:p>
        </w:tc>
      </w:tr>
    </w:tbl>
    <w:p>
      <w:r>
        <w:rPr>
          <w:sz w:val="18"/>
          <w:szCs w:val="18"/>
        </w:rPr>
        <w:t xml:space="preserve"> </w:t>
      </w:r>
    </w:p>
    <w:p>
      <w:pPr>
        <w:pStyle w:val="Heading1"/>
      </w:pPr>
      <w:r>
        <w:rPr>
          <w:rFonts w:ascii="Arial" w:cs="Arial" w:eastAsia="Arial" w:hAnsi="Arial"/>
          <w:b/>
          <w:bCs/>
          <w:color w:val="1F3864"/>
          <w:sz w:val="30"/>
          <w:szCs w:val="30"/>
        </w:rPr>
        <w:t xml:space="preserve">7. Fuentes de vibración identificadas en METALFORM</w:t>
      </w:r>
    </w:p>
    <w:p>
      <w:pPr>
        <w:spacing w:after="100"/>
      </w:pPr>
      <w:r>
        <w:rPr>
          <w:rFonts w:ascii="Arial" w:cs="Arial" w:eastAsia="Arial" w:hAnsi="Arial"/>
          <w:color w:val="000000"/>
          <w:sz w:val="20"/>
          <w:szCs w:val="20"/>
        </w:rPr>
        <w:t xml:space="preserve">Evaluación cualitativa basada en observación directa. Los niveles estimados son referenciales hasta contar con medición formal.</w:t>
      </w:r>
    </w:p>
    <w:p>
      <w:r>
        <w:rPr>
          <w:sz w:val="18"/>
          <w:szCs w:val="18"/>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500"/>
        <w:gridCol w:w="1500"/>
        <w:gridCol w:w="1500"/>
        <w:gridCol w:w="1000"/>
      </w:tblGrid>
      <w:tr>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Máquina / Herramienta</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de vibración</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Nivel estimado</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Exposición típica</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Riesgo potencial</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Prioridad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Troqueladora de impacto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VMB + VCE</w:t>
            </w:r>
          </w:p>
        </w:tc>
        <w:tc>
          <w:tcPr>
            <w:tcBorders>
              <w:top w:val="single" w:color="CCCCCC" w:sz="1"/>
              <w:left w:val="single" w:color="CCCCCC" w:sz="1"/>
              <w:bottom w:val="single" w:color="CCCCCC" w:sz="1"/>
              <w:right w:val="single" w:color="CCCCCC" w:sz="1"/>
            </w:tcBorders>
            <w:shd w:fill="FF8A80" w:val="clear"/>
            <w:tcMar>
              <w:top w:type="dxa" w:w="80"/>
              <w:left w:type="dxa" w:w="120"/>
              <w:bottom w:type="dxa" w:w="80"/>
              <w:right w:type="dxa" w:w="120"/>
            </w:tcMar>
            <w:vAlign w:val="center"/>
          </w:tcPr>
          <w:p>
            <w:pPr>
              <w:jc w:val="center"/>
            </w:pPr>
            <w:r>
              <w:rPr>
                <w:rFonts w:ascii="Arial" w:cs="Arial" w:eastAsia="Arial" w:hAnsi="Arial"/>
                <w:b/>
                <w:bCs/>
                <w:color w:val="B71C1C"/>
                <w:sz w:val="18"/>
                <w:szCs w:val="18"/>
              </w:rPr>
              <w:t xml:space="preserve">Alto*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4–8 h/turno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SVMB, lumbalgia crónica</w:t>
            </w:r>
          </w:p>
        </w:tc>
        <w:tc>
          <w:tcPr>
            <w:tcBorders>
              <w:top w:val="single" w:color="CCCCCC" w:sz="1"/>
              <w:left w:val="single" w:color="CCCCCC" w:sz="1"/>
              <w:bottom w:val="single" w:color="CCCCCC" w:sz="1"/>
              <w:right w:val="single" w:color="CCCCCC" w:sz="1"/>
            </w:tcBorders>
            <w:shd w:fill="FF8A80" w:val="clear"/>
            <w:tcMar>
              <w:top w:type="dxa" w:w="80"/>
              <w:left w:type="dxa" w:w="120"/>
              <w:bottom w:type="dxa" w:w="80"/>
              <w:right w:type="dxa" w:w="120"/>
            </w:tcMar>
            <w:vAlign w:val="center"/>
          </w:tcPr>
          <w:p>
            <w:pPr>
              <w:jc w:val="center"/>
            </w:pPr>
            <w:r>
              <w:rPr>
                <w:rFonts w:ascii="Arial" w:cs="Arial" w:eastAsia="Arial" w:hAnsi="Arial"/>
                <w:b/>
                <w:bCs/>
                <w:color w:val="B71C1C"/>
                <w:sz w:val="18"/>
                <w:szCs w:val="18"/>
              </w:rPr>
              <w:t xml:space="preserve">ALTA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Dobladora CNC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VMB</w:t>
            </w:r>
          </w:p>
        </w:tc>
        <w:tc>
          <w:tcPr>
            <w:tcBorders>
              <w:top w:val="single" w:color="CCCCCC" w:sz="1"/>
              <w:left w:val="single" w:color="CCCCCC" w:sz="1"/>
              <w:bottom w:val="single" w:color="CCCCCC" w:sz="1"/>
              <w:right w:val="single" w:color="CCCCCC" w:sz="1"/>
            </w:tcBorders>
            <w:shd w:fill="FFCCBC" w:val="clear"/>
            <w:tcMar>
              <w:top w:type="dxa" w:w="80"/>
              <w:left w:type="dxa" w:w="120"/>
              <w:bottom w:type="dxa" w:w="80"/>
              <w:right w:type="dxa" w:w="120"/>
            </w:tcMar>
            <w:vAlign w:val="center"/>
          </w:tcPr>
          <w:p>
            <w:pPr>
              <w:jc w:val="center"/>
            </w:pPr>
            <w:r>
              <w:rPr>
                <w:rFonts w:ascii="Arial" w:cs="Arial" w:eastAsia="Arial" w:hAnsi="Arial"/>
                <w:b/>
                <w:bCs/>
                <w:color w:val="BF360C"/>
                <w:sz w:val="18"/>
                <w:szCs w:val="18"/>
              </w:rPr>
              <w:t xml:space="preserve">Medio-Alto*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4–6 h/turno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Neuropatía, daño articular</w:t>
            </w:r>
          </w:p>
        </w:tc>
        <w:tc>
          <w:tcPr>
            <w:tcBorders>
              <w:top w:val="single" w:color="CCCCCC" w:sz="1"/>
              <w:left w:val="single" w:color="CCCCCC" w:sz="1"/>
              <w:bottom w:val="single" w:color="CCCCCC" w:sz="1"/>
              <w:right w:val="single" w:color="CCCCCC" w:sz="1"/>
            </w:tcBorders>
            <w:shd w:fill="FFCCBC" w:val="clear"/>
            <w:tcMar>
              <w:top w:type="dxa" w:w="80"/>
              <w:left w:type="dxa" w:w="120"/>
              <w:bottom w:type="dxa" w:w="80"/>
              <w:right w:type="dxa" w:w="120"/>
            </w:tcMar>
            <w:vAlign w:val="center"/>
          </w:tcPr>
          <w:p>
            <w:pPr>
              <w:jc w:val="center"/>
            </w:pPr>
            <w:r>
              <w:rPr>
                <w:rFonts w:ascii="Arial" w:cs="Arial" w:eastAsia="Arial" w:hAnsi="Arial"/>
                <w:b/>
                <w:bCs/>
                <w:color w:val="BF360C"/>
                <w:sz w:val="18"/>
                <w:szCs w:val="18"/>
              </w:rPr>
              <w:t xml:space="preserve">ALTA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Pulidora / esmeriladora angular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VMB</w:t>
            </w:r>
          </w:p>
        </w:tc>
        <w:tc>
          <w:tcPr>
            <w:tcBorders>
              <w:top w:val="single" w:color="CCCCCC" w:sz="1"/>
              <w:left w:val="single" w:color="CCCCCC" w:sz="1"/>
              <w:bottom w:val="single" w:color="CCCCCC" w:sz="1"/>
              <w:right w:val="single" w:color="CCCCCC" w:sz="1"/>
            </w:tcBorders>
            <w:shd w:fill="FFCCBC" w:val="clear"/>
            <w:tcMar>
              <w:top w:type="dxa" w:w="80"/>
              <w:left w:type="dxa" w:w="120"/>
              <w:bottom w:type="dxa" w:w="80"/>
              <w:right w:type="dxa" w:w="120"/>
            </w:tcMar>
            <w:vAlign w:val="center"/>
          </w:tcPr>
          <w:p>
            <w:pPr>
              <w:jc w:val="center"/>
            </w:pPr>
            <w:r>
              <w:rPr>
                <w:rFonts w:ascii="Arial" w:cs="Arial" w:eastAsia="Arial" w:hAnsi="Arial"/>
                <w:b/>
                <w:bCs/>
                <w:color w:val="BF360C"/>
                <w:sz w:val="18"/>
                <w:szCs w:val="18"/>
              </w:rPr>
              <w:t xml:space="preserve">Medio-Alto*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2–4 h/turno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Raynaud, túnel carpiano</w:t>
            </w:r>
          </w:p>
        </w:tc>
        <w:tc>
          <w:tcPr>
            <w:tcBorders>
              <w:top w:val="single" w:color="CCCCCC" w:sz="1"/>
              <w:left w:val="single" w:color="CCCCCC" w:sz="1"/>
              <w:bottom w:val="single" w:color="CCCCCC" w:sz="1"/>
              <w:right w:val="single" w:color="CCCCCC" w:sz="1"/>
            </w:tcBorders>
            <w:shd w:fill="FFCCBC" w:val="clear"/>
            <w:tcMar>
              <w:top w:type="dxa" w:w="80"/>
              <w:left w:type="dxa" w:w="120"/>
              <w:bottom w:type="dxa" w:w="80"/>
              <w:right w:type="dxa" w:w="120"/>
            </w:tcMar>
            <w:vAlign w:val="center"/>
          </w:tcPr>
          <w:p>
            <w:pPr>
              <w:jc w:val="center"/>
            </w:pPr>
            <w:r>
              <w:rPr>
                <w:rFonts w:ascii="Arial" w:cs="Arial" w:eastAsia="Arial" w:hAnsi="Arial"/>
                <w:b/>
                <w:bCs/>
                <w:color w:val="BF360C"/>
                <w:sz w:val="18"/>
                <w:szCs w:val="18"/>
              </w:rPr>
              <w:t xml:space="preserve">ALTA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Cortadora de alambrón / disco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VMB</w:t>
            </w:r>
          </w:p>
        </w:tc>
        <w:tc>
          <w:tcPr>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Medio*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2–4 h/turno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Fatiga muscular, neuropatía</w:t>
            </w:r>
          </w:p>
        </w:tc>
        <w:tc>
          <w:tcPr>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MEDIA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Enderezadora de alambrón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VMB + VCE</w:t>
            </w:r>
          </w:p>
        </w:tc>
        <w:tc>
          <w:tcPr>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Medio*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2–4 h/turno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Lumbalgia, fatiga</w:t>
            </w:r>
          </w:p>
        </w:tc>
        <w:tc>
          <w:tcPr>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MEDIA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Herramientas manuales (llaves, martillos)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VMB</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2E7D32"/>
                <w:sz w:val="18"/>
                <w:szCs w:val="18"/>
              </w:rPr>
              <w:t xml:space="preserve">Bajo*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2 h/turno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Fatiga leve</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BAJA</w:t>
            </w:r>
          </w:p>
        </w:tc>
      </w:tr>
      <w:tr>
        <w:tc>
          <w:tcPr>
            <w:gridSpan w:val="6"/>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color w:val="856404"/>
                <w:sz w:val="16"/>
                <w:szCs w:val="16"/>
              </w:rPr>
              <w:t xml:space="preserve">* Niveles estimados con base en referencias de la industria metalmecánica (ISO 5349-1). Deben validarse con acelerómetro calibrado. No sustituyen al estudio formal.</w:t>
            </w:r>
          </w:p>
        </w:tc>
      </w:tr>
    </w:tbl>
    <w:p>
      <w:r>
        <w:rPr>
          <w:sz w:val="18"/>
          <w:szCs w:val="18"/>
        </w:rPr>
        <w:t xml:space="preserve"> </w:t>
      </w:r>
    </w:p>
    <w:p>
      <w:pPr>
        <w:pStyle w:val="Heading1"/>
      </w:pPr>
      <w:r>
        <w:rPr>
          <w:rFonts w:ascii="Arial" w:cs="Arial" w:eastAsia="Arial" w:hAnsi="Arial"/>
          <w:b/>
          <w:bCs/>
          <w:color w:val="1F3864"/>
          <w:sz w:val="30"/>
          <w:szCs w:val="30"/>
        </w:rPr>
        <w:t xml:space="preserve">8. Valores límite de exposición (VLE) y valores de acción (VA)</w:t>
      </w:r>
    </w:p>
    <w:p>
      <w:pPr>
        <w:spacing w:after="100"/>
      </w:pPr>
      <w:r>
        <w:rPr>
          <w:rFonts w:ascii="Arial" w:cs="Arial" w:eastAsia="Arial" w:hAnsi="Arial"/>
          <w:color w:val="000000"/>
          <w:sz w:val="20"/>
          <w:szCs w:val="20"/>
        </w:rPr>
        <w:t xml:space="preserve">En ausencia de norma mexicana específica para vibración, se adoptan los valores de la Directiva Europea 2002/44/CE e ISO 5349-1 como referencia técnica internacional reconocida:</w:t>
      </w:r>
    </w:p>
    <w:p>
      <w:r>
        <w:rPr>
          <w:sz w:val="18"/>
          <w:szCs w:val="18"/>
        </w:rPr>
        <w:t xml:space="preserve"> </w:t>
      </w:r>
    </w:p>
    <w:p>
      <w:pPr>
        <w:pStyle w:val="Heading2"/>
      </w:pPr>
      <w:r>
        <w:rPr>
          <w:rFonts w:ascii="Arial" w:cs="Arial" w:eastAsia="Arial" w:hAnsi="Arial"/>
          <w:b/>
          <w:bCs/>
          <w:color w:val="2E75B6"/>
          <w:sz w:val="24"/>
          <w:szCs w:val="24"/>
        </w:rPr>
        <w:t xml:space="preserve">8.1 Vibración mano-brazo (VMB) — A(8): aceleración ponderada en 8 horas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500"/>
      </w:tblGrid>
      <w:tr>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Parámetro</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Valor</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Nivel de riesgo</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Acción requerida</w:t>
            </w:r>
          </w:p>
        </w:tc>
      </w:tr>
      <w:tr>
        <w:tc>
          <w:tcPr>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Valor de Acción (VA)</w:t>
            </w:r>
          </w:p>
        </w:tc>
        <w:tc>
          <w:tcPr>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2.5 m/s²</w:t>
            </w:r>
          </w:p>
        </w:tc>
        <w:tc>
          <w:tcPr>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bCs/>
                <w:color w:val="F57F17"/>
                <w:sz w:val="18"/>
                <w:szCs w:val="18"/>
              </w:rPr>
              <w:t xml:space="preserve">Medio</w:t>
            </w:r>
          </w:p>
        </w:tc>
        <w:tc>
          <w:tcPr>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Implementar controles, vigilancia médica, capacitación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Valor Límite de Exposición (VLE)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5.0 m/s²</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B71C1C"/>
                <w:sz w:val="18"/>
                <w:szCs w:val="18"/>
              </w:rPr>
              <w:t xml:space="preserve">Alto — no superar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Acción inmediata. Rediseño del proceso o sustitución del equipo.</w:t>
            </w:r>
          </w:p>
        </w:tc>
      </w:tr>
    </w:tbl>
    <w:p>
      <w:r>
        <w:rPr>
          <w:sz w:val="18"/>
          <w:szCs w:val="18"/>
        </w:rPr>
        <w:t xml:space="preserve"> </w:t>
      </w:r>
    </w:p>
    <w:p>
      <w:pPr>
        <w:pStyle w:val="Heading2"/>
      </w:pPr>
      <w:r>
        <w:rPr>
          <w:rFonts w:ascii="Arial" w:cs="Arial" w:eastAsia="Arial" w:hAnsi="Arial"/>
          <w:b/>
          <w:bCs/>
          <w:color w:val="2E75B6"/>
          <w:sz w:val="24"/>
          <w:szCs w:val="24"/>
        </w:rPr>
        <w:t xml:space="preserve">8.2 Vibración de cuerpo entero (VCE) — A(8)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500"/>
      </w:tblGrid>
      <w:tr>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Parámetro</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Valor</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Nivel de riesgo</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Acción requerida</w:t>
            </w:r>
          </w:p>
        </w:tc>
      </w:tr>
      <w:tr>
        <w:tc>
          <w:tcPr>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Valor de Acción (VA)</w:t>
            </w:r>
          </w:p>
        </w:tc>
        <w:tc>
          <w:tcPr>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0.5 m/s²</w:t>
            </w:r>
          </w:p>
        </w:tc>
        <w:tc>
          <w:tcPr>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bCs/>
                <w:color w:val="F57F17"/>
                <w:sz w:val="18"/>
                <w:szCs w:val="18"/>
              </w:rPr>
              <w:t xml:space="preserve">Medio</w:t>
            </w:r>
          </w:p>
        </w:tc>
        <w:tc>
          <w:tcPr>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Evaluación ergonómica, controles administrativos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Valor Límite de Exposición (VLE)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1.15 m/s²</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B71C1C"/>
                <w:sz w:val="18"/>
                <w:szCs w:val="18"/>
              </w:rPr>
              <w:t xml:space="preserve">Alto — no superar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Acción inmediata. Rediseño del puesto de trabajo.</w:t>
            </w:r>
          </w:p>
        </w:tc>
      </w:tr>
    </w:tbl>
    <w:p>
      <w:r>
        <w:rPr>
          <w:sz w:val="18"/>
          <w:szCs w:val="18"/>
        </w:rPr>
        <w:t xml:space="preserve"> </w:t>
      </w:r>
    </w:p>
    <w:p>
      <w:pPr>
        <w:spacing w:after="100"/>
      </w:pPr>
      <w:r>
        <w:rPr>
          <w:rFonts w:ascii="Arial" w:cs="Arial" w:eastAsia="Arial" w:hAnsi="Arial"/>
          <w:color w:val="555555"/>
          <w:sz w:val="20"/>
          <w:szCs w:val="20"/>
        </w:rPr>
        <w:t xml:space="preserve">Nota: La exposición diaria A(8) se calcula considerando la magnitud de vibración del equipo y el tiempo de uso. Un mismo equipo puede superar el VLE con 4 horas de uso continuo si su aceleración supera 10 m/s².</w:t>
      </w:r>
    </w:p>
    <w:p>
      <w:r>
        <w:rPr>
          <w:sz w:val="18"/>
          <w:szCs w:val="18"/>
        </w:rPr>
        <w:t xml:space="preserve"> </w:t>
      </w:r>
    </w:p>
    <w:p>
      <w:pPr>
        <w:pStyle w:val="Heading1"/>
      </w:pPr>
      <w:r>
        <w:rPr>
          <w:rFonts w:ascii="Arial" w:cs="Arial" w:eastAsia="Arial" w:hAnsi="Arial"/>
          <w:b/>
          <w:bCs/>
          <w:color w:val="1F3864"/>
          <w:sz w:val="30"/>
          <w:szCs w:val="30"/>
        </w:rPr>
        <w:t xml:space="preserve">9. Controles por jerarquía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6500"/>
      </w:tblGrid>
      <w:tr>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Nivel</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Control</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Acciones específicas para METALFORM</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Eliminación</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Evaluar rediseño de procesos que eliminen la necesidad de maquinaria de alto impacto (largo plazo)</w:t>
            </w:r>
          </w:p>
        </w:tc>
      </w:tr>
      <w:tr>
        <w:tc>
          <w:tcPr>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center"/>
            </w:pPr>
            <w:r>
              <w:rPr>
                <w:rFonts w:ascii="Arial" w:cs="Arial" w:eastAsia="Arial" w:hAnsi="Arial"/>
                <w:b/>
                <w:bCs/>
                <w:color w:val="33691E"/>
                <w:sz w:val="18"/>
                <w:szCs w:val="18"/>
              </w:rPr>
              <w:t xml:space="preserve">2</w:t>
            </w:r>
          </w:p>
        </w:tc>
        <w:tc>
          <w:tcPr>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Sustitución</w:t>
            </w:r>
          </w:p>
        </w:tc>
        <w:tc>
          <w:tcPr>
            <w:tcBorders>
              <w:top w:val="single" w:color="CCCCCC" w:sz="1"/>
              <w:left w:val="single" w:color="CCCCCC" w:sz="1"/>
              <w:bottom w:val="single" w:color="CCCCCC" w:sz="1"/>
              <w:right w:val="single" w:color="CCCCCC" w:sz="1"/>
            </w:tcBorders>
            <w:shd w:fill="DCEDC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Reemplazar troqueladoras de impacto por equipos hidráulicos o servo-eléctricos con menor transmisión de vibración</w:t>
            </w:r>
          </w:p>
        </w:tc>
      </w:tr>
      <w:tr>
        <w:tc>
          <w:tcPr>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center"/>
            </w:pPr>
            <w:r>
              <w:rPr>
                <w:rFonts w:ascii="Arial" w:cs="Arial" w:eastAsia="Arial" w:hAnsi="Arial"/>
                <w:b/>
                <w:bCs/>
                <w:color w:val="F57F17"/>
                <w:sz w:val="18"/>
                <w:szCs w:val="18"/>
              </w:rPr>
              <w:t xml:space="preserve">3</w:t>
            </w:r>
          </w:p>
        </w:tc>
        <w:tc>
          <w:tcPr>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Controles de ingeniería</w:t>
            </w:r>
          </w:p>
        </w:tc>
        <w:tc>
          <w:tcPr>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Instalar bases antivibratorias en máquinas fijas. Verificar y reemplazar amortiguadores deteriorados. Usar mangos con aislamiento de vibración en herramientas manuales. Mantenimiento preventivo riguroso de partes rotativas (balanceo de discos, lubricación de rodamientos).</w:t>
            </w:r>
          </w:p>
        </w:tc>
      </w:tr>
      <w:tr>
        <w:tc>
          <w:tcPr>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Controles administrativos</w:t>
            </w:r>
          </w:p>
        </w:tc>
        <w:tc>
          <w:tcPr>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Rotación obligatoria: máximo 2 horas continuas en equipos de vibración alta. Pausas activas de 10 minutos cada 90 minutos. Programar tareas vibradoras en alternancia con tareas sin vibración. Llevar registro de tiempo de exposición por operador.</w:t>
            </w:r>
          </w:p>
        </w:tc>
      </w:tr>
      <w:tr>
        <w:tc>
          <w:tcPr>
            <w:tcBorders>
              <w:top w:val="single" w:color="CCCCCC" w:sz="1"/>
              <w:left w:val="single" w:color="CCCCCC" w:sz="1"/>
              <w:bottom w:val="single" w:color="CCCCCC" w:sz="1"/>
              <w:right w:val="single" w:color="CCCCCC" w:sz="1"/>
            </w:tcBorders>
            <w:shd w:fill="FFCCBC" w:val="clear"/>
            <w:tcMar>
              <w:top w:type="dxa" w:w="80"/>
              <w:left w:type="dxa" w:w="120"/>
              <w:bottom w:type="dxa" w:w="80"/>
              <w:right w:type="dxa" w:w="120"/>
            </w:tcMar>
            <w:vAlign w:val="center"/>
          </w:tcPr>
          <w:p>
            <w:pPr>
              <w:jc w:val="center"/>
            </w:pPr>
            <w:r>
              <w:rPr>
                <w:rFonts w:ascii="Arial" w:cs="Arial" w:eastAsia="Arial" w:hAnsi="Arial"/>
                <w:b/>
                <w:bCs/>
                <w:color w:val="BF360C"/>
                <w:sz w:val="18"/>
                <w:szCs w:val="18"/>
              </w:rPr>
              <w:t xml:space="preserve">5</w:t>
            </w:r>
          </w:p>
        </w:tc>
        <w:tc>
          <w:tcPr>
            <w:tcBorders>
              <w:top w:val="single" w:color="CCCCCC" w:sz="1"/>
              <w:left w:val="single" w:color="CCCCCC" w:sz="1"/>
              <w:bottom w:val="single" w:color="CCCCCC" w:sz="1"/>
              <w:right w:val="single" w:color="CCCCCC" w:sz="1"/>
            </w:tcBorders>
            <w:shd w:fill="FFCCB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EPP y ayudas ergonómicas</w:t>
            </w:r>
          </w:p>
        </w:tc>
        <w:tc>
          <w:tcPr>
            <w:tcBorders>
              <w:top w:val="single" w:color="CCCCCC" w:sz="1"/>
              <w:left w:val="single" w:color="CCCCCC" w:sz="1"/>
              <w:bottom w:val="single" w:color="CCCCCC" w:sz="1"/>
              <w:right w:val="single" w:color="CCCCCC" w:sz="1"/>
            </w:tcBorders>
            <w:shd w:fill="FFCCB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Guantes antivibración certificados para operadores de VMB. Calzado con plantilla antivibratorio para VCE. Alfombras antivibratorias en puestos de trabajo junto a maquinaria pesada. Ver sección 10.</w:t>
            </w:r>
          </w:p>
        </w:tc>
      </w:tr>
    </w:tbl>
    <w:p>
      <w:r>
        <w:rPr>
          <w:sz w:val="18"/>
          <w:szCs w:val="18"/>
        </w:rPr>
        <w:t xml:space="preserve"> </w:t>
      </w:r>
    </w:p>
    <w:p>
      <w:pPr>
        <w:pStyle w:val="Heading1"/>
      </w:pPr>
      <w:r>
        <w:rPr>
          <w:rFonts w:ascii="Arial" w:cs="Arial" w:eastAsia="Arial" w:hAnsi="Arial"/>
          <w:b/>
          <w:bCs/>
          <w:color w:val="1F3864"/>
          <w:sz w:val="30"/>
          <w:szCs w:val="30"/>
        </w:rPr>
        <w:t xml:space="preserve">10. Equipos de protección y ayudas ergonómicas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1500"/>
        <w:gridCol w:w="1500"/>
      </w:tblGrid>
      <w:tr>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Equipo / Ayuda</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Norma</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Especificación técnica</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Aplicación</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Revisión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Guantes antivibración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ISO 10819</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Nivel de transmisibilidad reducida en palma y dedos. Material: gel + espuma. Ajuste anatómico sin comprometer la destreza.</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Operadores de pulidora, esmeriladora y dobladora</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Cada 3 meses o al detectar deterioro del material absorbente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Alfombra antivibratoria / antiestática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ISO 2631-1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Espesor ≥ 15 mm, material elastómero, dimensión mínima 60×90 cm por puesto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Puestos junto a troqueladora y dobladora CNC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Inspección mensual de integridad. Reemplazo anual o ante deterioro.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Mangos con aislamiento de vibración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ISO 5349-1</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Recubrimiento de hule o gel antivibración en mangos de pulidoras y cortadoras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Herramientas manuales de producción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Inspección mensual. Reemplazo al detectar grietas o separación del recubrimiento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Bases antivibratorias para máquinas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ISO 2631-1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Pads de elastómero o resortes de acero calibrados al peso de la máquina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Troqueladoras, dobladoras y cortadoras fijas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Revisión semestral de compresión y deformación. Reemplazo según fabricante.</w:t>
            </w:r>
          </w:p>
        </w:tc>
      </w:tr>
    </w:tbl>
    <w:p>
      <w:r>
        <w:rPr>
          <w:sz w:val="18"/>
          <w:szCs w:val="18"/>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r>
              <w:rPr>
                <w:rFonts w:ascii="Arial" w:cs="Arial" w:eastAsia="Arial" w:hAnsi="Arial"/>
                <w:b/>
                <w:bCs/>
                <w:color w:val="856404"/>
                <w:sz w:val="22"/>
                <w:szCs w:val="22"/>
              </w:rPr>
              <w:t xml:space="preserve">⚠  Limitación de los guantes antivibración</w:t>
            </w:r>
          </w:p>
          <w:p>
            <w:pPr>
              <w:spacing w:after="60"/>
            </w:pPr>
            <w:r>
              <w:rPr>
                <w:rFonts w:ascii="Arial" w:cs="Arial" w:eastAsia="Arial" w:hAnsi="Arial"/>
                <w:color w:val="333333"/>
                <w:sz w:val="20"/>
                <w:szCs w:val="20"/>
              </w:rPr>
              <w:t xml:space="preserve">Los guantes antivibración certificados bajo ISO 10819 ofrecen protección parcial. Reducen principalmente las frecuencias medias y altas (80–1600 Hz), pero tienen eficacia limitada en frecuencias bajas (&lt; 80 Hz), que son las predominantes en maquinaria pesada como troqueladoras.</w:t>
            </w:r>
          </w:p>
          <w:p>
            <w:pPr>
              <w:spacing w:after="60"/>
            </w:pPr>
            <w:r>
              <w:rPr>
                <w:rFonts w:ascii="Arial" w:cs="Arial" w:eastAsia="Arial" w:hAnsi="Arial"/>
                <w:color w:val="333333"/>
                <w:sz w:val="20"/>
                <w:szCs w:val="20"/>
              </w:rPr>
              <w:t xml:space="preserve">Por esta razón, los guantes antivibración son un control complementario, no un sustituto de los controles de ingeniería y administrativos. Nunca deben ser el único control aplicado.</w:t>
            </w:r>
          </w:p>
        </w:tc>
      </w:tr>
    </w:tbl>
    <w:p>
      <w:r>
        <w:rPr>
          <w:sz w:val="18"/>
          <w:szCs w:val="18"/>
        </w:rPr>
        <w:t xml:space="preserve"> </w:t>
      </w:r>
    </w:p>
    <w:p>
      <w:pPr>
        <w:pStyle w:val="Heading1"/>
      </w:pPr>
      <w:r>
        <w:rPr>
          <w:rFonts w:ascii="Arial" w:cs="Arial" w:eastAsia="Arial" w:hAnsi="Arial"/>
          <w:b/>
          <w:bCs/>
          <w:color w:val="1F3864"/>
          <w:sz w:val="30"/>
          <w:szCs w:val="30"/>
        </w:rPr>
        <w:t xml:space="preserve">11. Procedimiento seguro en operación de maquinaria vibratoria</w:t>
      </w:r>
    </w:p>
    <w:p>
      <w:pPr>
        <w:spacing w:after="100"/>
      </w:pPr>
      <w:r>
        <w:rPr>
          <w:rFonts w:ascii="Arial" w:cs="Arial" w:eastAsia="Arial" w:hAnsi="Arial"/>
          <w:color w:val="000000"/>
          <w:sz w:val="20"/>
          <w:szCs w:val="20"/>
        </w:rPr>
        <w:t xml:space="preserve">Referencia: HSE-PSO-VIB-001-R00 — Procedimiento Seguro para Operación de Maquinaria con Vibración Significativa</w:t>
      </w:r>
    </w:p>
    <w:p>
      <w:r>
        <w:rPr>
          <w:sz w:val="18"/>
          <w:szCs w:val="18"/>
        </w:rPr>
        <w:t xml:space="preserve"> </w:t>
      </w:r>
    </w:p>
    <w:p>
      <w:pPr>
        <w:spacing w:after="60"/>
      </w:pPr>
      <w:r>
        <w:rPr>
          <w:rFonts w:ascii="Arial" w:cs="Arial" w:eastAsia="Arial" w:hAnsi="Arial"/>
          <w:b/>
          <w:bCs/>
          <w:color w:val="2E75B6"/>
          <w:sz w:val="20"/>
          <w:szCs w:val="20"/>
        </w:rPr>
        <w:t xml:space="preserve">1. Verificación previa al turno</w:t>
      </w:r>
    </w:p>
    <w:p>
      <w:pPr>
        <w:spacing w:after="100"/>
      </w:pPr>
      <w:r>
        <w:rPr>
          <w:rFonts w:ascii="Arial" w:cs="Arial" w:eastAsia="Arial" w:hAnsi="Arial"/>
          <w:color w:val="000000"/>
          <w:sz w:val="20"/>
          <w:szCs w:val="20"/>
        </w:rPr>
        <w:t xml:space="preserve">Inspeccionar el estado de amortiguadores, bases antivibratorias y mangos de herramientas. Verificar que la alfombra antivibratoria esté en su lugar. Reportar cualquier anomalía antes de iniciar (formato HSE-FRM-MNT-VIB-001).</w:t>
      </w:r>
    </w:p>
    <w:p>
      <w:r>
        <w:rPr>
          <w:sz w:val="18"/>
          <w:szCs w:val="18"/>
        </w:rPr>
        <w:t xml:space="preserve"> </w:t>
      </w:r>
    </w:p>
    <w:p>
      <w:pPr>
        <w:spacing w:after="60"/>
      </w:pPr>
      <w:r>
        <w:rPr>
          <w:rFonts w:ascii="Arial" w:cs="Arial" w:eastAsia="Arial" w:hAnsi="Arial"/>
          <w:b/>
          <w:bCs/>
          <w:color w:val="2E75B6"/>
          <w:sz w:val="20"/>
          <w:szCs w:val="20"/>
        </w:rPr>
        <w:t xml:space="preserve">2. Colocación de EPP</w:t>
      </w:r>
    </w:p>
    <w:p>
      <w:pPr>
        <w:spacing w:after="100"/>
      </w:pPr>
      <w:r>
        <w:rPr>
          <w:rFonts w:ascii="Arial" w:cs="Arial" w:eastAsia="Arial" w:hAnsi="Arial"/>
          <w:color w:val="000000"/>
          <w:sz w:val="20"/>
          <w:szCs w:val="20"/>
        </w:rPr>
        <w:t xml:space="preserve">Ponerse guantes antivibración antes de operar cualquier herramienta o máquina de vibración media o alta. Verificar ajuste correcto: el guante no debe dificultar el agarre ni comprimir la circulación.</w:t>
      </w:r>
    </w:p>
    <w:p>
      <w:r>
        <w:rPr>
          <w:sz w:val="18"/>
          <w:szCs w:val="18"/>
        </w:rPr>
        <w:t xml:space="preserve"> </w:t>
      </w:r>
    </w:p>
    <w:p>
      <w:pPr>
        <w:spacing w:after="60"/>
      </w:pPr>
      <w:r>
        <w:rPr>
          <w:rFonts w:ascii="Arial" w:cs="Arial" w:eastAsia="Arial" w:hAnsi="Arial"/>
          <w:b/>
          <w:bCs/>
          <w:color w:val="2E75B6"/>
          <w:sz w:val="20"/>
          <w:szCs w:val="20"/>
        </w:rPr>
        <w:t xml:space="preserve">3. Postura de trabajo</w:t>
      </w:r>
    </w:p>
    <w:p>
      <w:pPr>
        <w:spacing w:after="100"/>
      </w:pPr>
      <w:r>
        <w:rPr>
          <w:rFonts w:ascii="Arial" w:cs="Arial" w:eastAsia="Arial" w:hAnsi="Arial"/>
          <w:color w:val="000000"/>
          <w:sz w:val="20"/>
          <w:szCs w:val="20"/>
        </w:rPr>
        <w:t xml:space="preserve">Mantener muñecas en posición neutral. Evitar flexión o extensión forzada durante la operación. Apoyar el cuerpo cuando sea posible. No ejercer fuerza de agarre excesiva: sujetar la herramienta con la presión mínima necesaria para controlarla.</w:t>
      </w:r>
    </w:p>
    <w:p>
      <w:r>
        <w:rPr>
          <w:sz w:val="18"/>
          <w:szCs w:val="18"/>
        </w:rPr>
        <w:t xml:space="preserve"> </w:t>
      </w:r>
    </w:p>
    <w:p>
      <w:pPr>
        <w:spacing w:after="60"/>
      </w:pPr>
      <w:r>
        <w:rPr>
          <w:rFonts w:ascii="Arial" w:cs="Arial" w:eastAsia="Arial" w:hAnsi="Arial"/>
          <w:b/>
          <w:bCs/>
          <w:color w:val="2E75B6"/>
          <w:sz w:val="20"/>
          <w:szCs w:val="20"/>
        </w:rPr>
        <w:t xml:space="preserve">4. Control del tiempo de exposición</w:t>
      </w:r>
    </w:p>
    <w:p>
      <w:pPr>
        <w:spacing w:after="100"/>
      </w:pPr>
      <w:r>
        <w:rPr>
          <w:rFonts w:ascii="Arial" w:cs="Arial" w:eastAsia="Arial" w:hAnsi="Arial"/>
          <w:color w:val="000000"/>
          <w:sz w:val="20"/>
          <w:szCs w:val="20"/>
        </w:rPr>
        <w:t xml:space="preserve">Respetar el límite de 2 horas continuas máximo en equipos de vibración alta (troqueladora, dobladora). Registrar el inicio y fin de cada periodo de exposición en el formato HSE-FRM-EXP-VIB-001.</w:t>
      </w:r>
    </w:p>
    <w:p>
      <w:r>
        <w:rPr>
          <w:sz w:val="18"/>
          <w:szCs w:val="18"/>
        </w:rPr>
        <w:t xml:space="preserve"> </w:t>
      </w:r>
    </w:p>
    <w:p>
      <w:pPr>
        <w:spacing w:after="60"/>
      </w:pPr>
      <w:r>
        <w:rPr>
          <w:rFonts w:ascii="Arial" w:cs="Arial" w:eastAsia="Arial" w:hAnsi="Arial"/>
          <w:b/>
          <w:bCs/>
          <w:color w:val="2E75B6"/>
          <w:sz w:val="20"/>
          <w:szCs w:val="20"/>
        </w:rPr>
        <w:t xml:space="preserve">5. Pausas activas</w:t>
      </w:r>
    </w:p>
    <w:p>
      <w:pPr>
        <w:spacing w:after="100"/>
      </w:pPr>
      <w:r>
        <w:rPr>
          <w:rFonts w:ascii="Arial" w:cs="Arial" w:eastAsia="Arial" w:hAnsi="Arial"/>
          <w:color w:val="000000"/>
          <w:sz w:val="20"/>
          <w:szCs w:val="20"/>
        </w:rPr>
        <w:t xml:space="preserve">Cada 90 minutos: pausas de 10 minutos con ejercicios de estiramiento de muñecas, dedos y hombros. El supervisor verifica su cumplimiento.</w:t>
      </w:r>
    </w:p>
    <w:p>
      <w:r>
        <w:rPr>
          <w:sz w:val="18"/>
          <w:szCs w:val="18"/>
        </w:rPr>
        <w:t xml:space="preserve"> </w:t>
      </w:r>
    </w:p>
    <w:p>
      <w:pPr>
        <w:spacing w:after="60"/>
      </w:pPr>
      <w:r>
        <w:rPr>
          <w:rFonts w:ascii="Arial" w:cs="Arial" w:eastAsia="Arial" w:hAnsi="Arial"/>
          <w:b/>
          <w:bCs/>
          <w:color w:val="2E75B6"/>
          <w:sz w:val="20"/>
          <w:szCs w:val="20"/>
        </w:rPr>
        <w:t xml:space="preserve">6. Alternancia de tareas</w:t>
      </w:r>
    </w:p>
    <w:p>
      <w:pPr>
        <w:spacing w:after="100"/>
      </w:pPr>
      <w:r>
        <w:rPr>
          <w:rFonts w:ascii="Arial" w:cs="Arial" w:eastAsia="Arial" w:hAnsi="Arial"/>
          <w:color w:val="000000"/>
          <w:sz w:val="20"/>
          <w:szCs w:val="20"/>
        </w:rPr>
        <w:t xml:space="preserve">Programar las tareas del turno de forma que el operador alterne entre actividades con y sin vibración. El supervisor establece la secuencia al inicio del turno.</w:t>
      </w:r>
    </w:p>
    <w:p>
      <w:r>
        <w:rPr>
          <w:sz w:val="18"/>
          <w:szCs w:val="18"/>
        </w:rPr>
        <w:t xml:space="preserve"> </w:t>
      </w:r>
    </w:p>
    <w:p>
      <w:pPr>
        <w:spacing w:after="60"/>
      </w:pPr>
      <w:r>
        <w:rPr>
          <w:rFonts w:ascii="Arial" w:cs="Arial" w:eastAsia="Arial" w:hAnsi="Arial"/>
          <w:b/>
          <w:bCs/>
          <w:color w:val="2E75B6"/>
          <w:sz w:val="20"/>
          <w:szCs w:val="20"/>
        </w:rPr>
        <w:t xml:space="preserve">7. Reporte de síntomas</w:t>
      </w:r>
    </w:p>
    <w:p>
      <w:pPr>
        <w:spacing w:after="100"/>
      </w:pPr>
      <w:r>
        <w:rPr>
          <w:rFonts w:ascii="Arial" w:cs="Arial" w:eastAsia="Arial" w:hAnsi="Arial"/>
          <w:color w:val="000000"/>
          <w:sz w:val="20"/>
          <w:szCs w:val="20"/>
        </w:rPr>
        <w:t xml:space="preserve">Cualquier operador que experimente entumecimiento, hormigueo, palidez en dedos o dolor en muñecas debe reportarlo al supervisor de inmediato. No continuar la tarea hasta evaluación. Registrar en formato HSE-FRM-INCID-001.</w:t>
      </w:r>
    </w:p>
    <w:p>
      <w:r>
        <w:rPr>
          <w:sz w:val="18"/>
          <w:szCs w:val="18"/>
        </w:rPr>
        <w:t xml:space="preserve"> </w:t>
      </w:r>
    </w:p>
    <w:p>
      <w:pPr>
        <w:spacing w:after="60"/>
      </w:pPr>
      <w:r>
        <w:rPr>
          <w:rFonts w:ascii="Arial" w:cs="Arial" w:eastAsia="Arial" w:hAnsi="Arial"/>
          <w:b/>
          <w:bCs/>
          <w:color w:val="2E75B6"/>
          <w:sz w:val="20"/>
          <w:szCs w:val="20"/>
        </w:rPr>
        <w:t xml:space="preserve">8. Mantenimiento y cierre</w:t>
      </w:r>
    </w:p>
    <w:p>
      <w:pPr>
        <w:spacing w:after="100"/>
      </w:pPr>
      <w:r>
        <w:rPr>
          <w:rFonts w:ascii="Arial" w:cs="Arial" w:eastAsia="Arial" w:hAnsi="Arial"/>
          <w:color w:val="000000"/>
          <w:sz w:val="20"/>
          <w:szCs w:val="20"/>
        </w:rPr>
        <w:t xml:space="preserve">Al finalizar el turno, limpiar y almacenar los guantes antivibración correctamente. Reportar cualquier deterioro observado en equipos o bases antivibratorias.</w:t>
      </w:r>
    </w:p>
    <w:p>
      <w:r>
        <w:rPr>
          <w:sz w:val="18"/>
          <w:szCs w:val="18"/>
        </w:rPr>
        <w:t xml:space="preserve"> </w:t>
      </w:r>
    </w:p>
    <w:p>
      <w:pPr>
        <w:pStyle w:val="Heading1"/>
      </w:pPr>
      <w:r>
        <w:rPr>
          <w:rFonts w:ascii="Arial" w:cs="Arial" w:eastAsia="Arial" w:hAnsi="Arial"/>
          <w:b/>
          <w:bCs/>
          <w:color w:val="1F3864"/>
          <w:sz w:val="30"/>
          <w:szCs w:val="30"/>
        </w:rPr>
        <w:t xml:space="preserve">12. Check list de verificación — HSE-FRM-CHK-VIB-001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3800"/>
        <w:gridCol w:w="1400"/>
        <w:gridCol w:w="1400"/>
        <w:gridCol w:w="1400"/>
        <w:gridCol w:w="700"/>
      </w:tblGrid>
      <w:tr>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Elemento a verificar</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Operador</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Supervisor</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HSE</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Guantes antivibración disponibles y en buen estado antes del turno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 Sí  ( ) No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 Sí  ( ) No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 Sí  ( ) No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Alfombra antivibratoria en posición correcta y sin deterioro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 Sí  ( ) 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 Sí  ( ) 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 Sí  ( ) 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Bases antivibratorias de máquinas fijas sin deformación visible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 Sí  ( ) No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 Sí  ( ) No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 Sí  ( ) No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Mangos de herramientas con recubrimiento antivibración íntegro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 Sí  ( ) 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 Sí  ( ) 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 Sí  ( ) 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Amortiguadores de maquinaria revisados (sin rotura ni compresión excesiva)</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 Sí  ( ) No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 Sí  ( ) No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 Sí  ( ) No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Guantes antivibración colocados correctamente antes de operar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 Sí  ( ) 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 Sí  ( ) 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 Sí  ( ) 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Tiempo de exposición continua respetado (máx. 2 h en equipos de vibración alta)</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 Sí  ( ) No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 Sí  ( ) No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 Sí  ( ) No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Pausas activas de 10 min cada 90 min realizadas y registradas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 Sí  ( ) 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 Sí  ( ) 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 Sí  ( ) 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Alternancia de tareas con y sin vibración aplicada en el turno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 Sí  ( ) No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 Sí  ( ) No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 Sí  ( ) No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Registro de exposición por operador completado (HSE-FRM-EXP-VIB-001)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 Sí  ( ) 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 Sí  ( ) 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 Sí  ( ) 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11</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Sin reportes de síntomas (entumecimiento, palidez, dolor en muñecas)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 Sí  ( ) No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 Sí  ( ) No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 Sí  ( ) No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Área limpia y EPP almacenado correctamente al cierre del turno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 Sí  ( ) 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 Sí  ( ) 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 Sí  ( ) 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bl>
    <w:p>
      <w:r>
        <w:rPr>
          <w:sz w:val="18"/>
          <w:szCs w:val="18"/>
        </w:rPr>
        <w:t xml:space="preserve"> </w:t>
      </w:r>
    </w:p>
    <w:p>
      <w:pPr>
        <w:pStyle w:val="Heading1"/>
      </w:pPr>
      <w:r>
        <w:rPr>
          <w:rFonts w:ascii="Arial" w:cs="Arial" w:eastAsia="Arial" w:hAnsi="Arial"/>
          <w:b/>
          <w:bCs/>
          <w:color w:val="1F3864"/>
          <w:sz w:val="30"/>
          <w:szCs w:val="30"/>
        </w:rPr>
        <w:t xml:space="preserve">13. Programa de capacitación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2600"/>
        <w:gridCol w:w="1200"/>
        <w:gridCol w:w="2000"/>
      </w:tblGrid>
      <w:tr>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Módulo</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Duración</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Contenido</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Método</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Evidencia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¿Qué es la vibración ocupacional?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 min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VMB y VCE: diferencias, fuentes en planta, efectos acumulativos en la salud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Teórico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Examen escrito 80%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 Reconocer síntomas tempranos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 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SVMB, fenómeno de Raynaud, neuropatía: cómo detectarlos y cuándo reportar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Teórico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Lista de asistencia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 Uso correcto de guantes antivibración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25 min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Selección, colocación, limitaciones y mantenimiento. Práctica individual.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Práctico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Verificación por supervisor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 Posturas y técnicas de trabajo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25 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Posición neutral de muñeca, agarre mínimo, apoyos. Demostración en puesto real.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Práctico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Evaluación postural en campo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 Control del tiempo y pausas activas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 min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Cómo registrar tiempos de exposición, ejercicios de pausa activa para manos y muñecas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Práctico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Demostración de ejercicios</w:t>
            </w:r>
          </w:p>
        </w:tc>
      </w:tr>
    </w:tbl>
    <w:p>
      <w:r>
        <w:rPr>
          <w:sz w:val="18"/>
          <w:szCs w:val="18"/>
        </w:rPr>
        <w:t xml:space="preserve"> </w:t>
      </w:r>
    </w:p>
    <w:p>
      <w:pPr>
        <w:spacing w:after="100"/>
      </w:pPr>
      <w:r>
        <w:rPr>
          <w:rFonts w:ascii="Arial" w:cs="Arial" w:eastAsia="Arial" w:hAnsi="Arial"/>
          <w:color w:val="555555"/>
          <w:sz w:val="20"/>
          <w:szCs w:val="20"/>
        </w:rPr>
        <w:t xml:space="preserve">Periodicidad: Inicial al ingreso | Refresh anual | Extraordinaria ante incidente, resultado médico anormal o cambio de maquinaria</w:t>
      </w:r>
    </w:p>
    <w:p>
      <w:r>
        <w:rPr>
          <w:sz w:val="18"/>
          <w:szCs w:val="18"/>
        </w:rPr>
        <w:t xml:space="preserve"> </w:t>
      </w:r>
    </w:p>
    <w:p>
      <w:pPr>
        <w:pStyle w:val="Heading1"/>
      </w:pPr>
      <w:r>
        <w:rPr>
          <w:rFonts w:ascii="Arial" w:cs="Arial" w:eastAsia="Arial" w:hAnsi="Arial"/>
          <w:b/>
          <w:bCs/>
          <w:color w:val="1F3864"/>
          <w:sz w:val="30"/>
          <w:szCs w:val="30"/>
        </w:rPr>
        <w:t xml:space="preserve">14. Vigilancia a la salud</w:t>
      </w:r>
    </w:p>
    <w:p>
      <w:pPr>
        <w:spacing w:after="100"/>
      </w:pPr>
      <w:r>
        <w:rPr>
          <w:rFonts w:ascii="Arial" w:cs="Arial" w:eastAsia="Arial" w:hAnsi="Arial"/>
          <w:color w:val="000000"/>
          <w:sz w:val="20"/>
          <w:szCs w:val="20"/>
        </w:rPr>
        <w:t xml:space="preserve">La detección temprana de efectos por vibración es crítica porque muchos daños (neuropatía, fenómeno de Raynaud) son irreversibles una vez establecidos. El programa de vigilancia médica incluye:</w:t>
      </w:r>
    </w:p>
    <w:p>
      <w:r>
        <w:rPr>
          <w:sz w:val="18"/>
          <w:szCs w:val="18"/>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00"/>
      </w:tblGrid>
      <w:tr>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Evaluación</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Momento</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Responsable</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Criterio de acción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Evaluación musculoesquelética de ingreso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Antes de iniciar labores con vibración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Médico del trabajo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Establece línea base. Detectar condiciones preexistentes.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Evaluación periódica anual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Una vez al año para todo el personal expuesto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Médico del trabajo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Comparar con basal. Signos de SVMB o Raynaud: restricción parcial o total.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Evaluación por síntomas reportados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Inmediata ante reporte del trabajador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Médico del trabajo / supervisor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reincorporar sin evaluación médica. Investigar causa raíz.</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Test de sensibilidad en dedos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Semestral para operadores de troqueladora y dobladora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Médico del trabajo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Reducción de sensibilidad: reforzar controles y reducir tiempo de exposición.</w:t>
            </w:r>
          </w:p>
        </w:tc>
      </w:tr>
    </w:tbl>
    <w:p>
      <w:r>
        <w:rPr>
          <w:sz w:val="18"/>
          <w:szCs w:val="18"/>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CCCCCC" w:sz="1"/>
              <w:left w:val="single" w:color="CCCCCC" w:sz="1"/>
              <w:bottom w:val="single" w:color="CCCCCC" w:sz="1"/>
              <w:right w:val="single" w:color="CCCCCC" w:sz="1"/>
            </w:tcBorders>
            <w:shd w:fill="E3F2FD" w:val="clear"/>
            <w:tcMar>
              <w:top w:type="dxa" w:w="120"/>
              <w:left w:type="dxa" w:w="200"/>
              <w:bottom w:type="dxa" w:w="120"/>
              <w:right w:type="dxa" w:w="200"/>
            </w:tcMar>
          </w:tcPr>
          <w:p>
            <w:r>
              <w:rPr>
                <w:rFonts w:ascii="Arial" w:cs="Arial" w:eastAsia="Arial" w:hAnsi="Arial"/>
                <w:b/>
                <w:bCs/>
                <w:color w:val="1565C0"/>
                <w:sz w:val="22"/>
                <w:szCs w:val="22"/>
              </w:rPr>
              <w:t xml:space="preserve">Acción inmediata pendiente</w:t>
            </w:r>
          </w:p>
          <w:p>
            <w:pPr>
              <w:spacing w:after="60"/>
            </w:pPr>
            <w:r>
              <w:rPr>
                <w:rFonts w:ascii="Arial" w:cs="Arial" w:eastAsia="Arial" w:hAnsi="Arial"/>
                <w:color w:val="333333"/>
                <w:sz w:val="20"/>
                <w:szCs w:val="20"/>
              </w:rPr>
              <w:t xml:space="preserve">Dado que METALFORM tiene menos de un año en sus instalaciones actuales y el departamento de HSE tiene 4 meses de creación, se recomienda realizar las evaluaciones musculoesqueléticas basales de todo el personal de producción en un plazo no mayor a 45 días.</w:t>
            </w:r>
          </w:p>
          <w:p>
            <w:pPr>
              <w:spacing w:after="60"/>
            </w:pPr>
            <w:r>
              <w:rPr>
                <w:rFonts w:ascii="Arial" w:cs="Arial" w:eastAsia="Arial" w:hAnsi="Arial"/>
                <w:color w:val="333333"/>
                <w:sz w:val="20"/>
                <w:szCs w:val="20"/>
              </w:rPr>
              <w:t xml:space="preserve">Esto protege tanto a los trabajadores como a la empresa ante cualquier reclamación futura.</w:t>
            </w:r>
          </w:p>
        </w:tc>
      </w:tr>
    </w:tbl>
    <w:p>
      <w:r>
        <w:rPr>
          <w:sz w:val="18"/>
          <w:szCs w:val="18"/>
        </w:rPr>
        <w:t xml:space="preserve"> </w:t>
      </w:r>
    </w:p>
    <w:p>
      <w:pPr>
        <w:pStyle w:val="Heading1"/>
      </w:pPr>
      <w:r>
        <w:rPr>
          <w:rFonts w:ascii="Arial" w:cs="Arial" w:eastAsia="Arial" w:hAnsi="Arial"/>
          <w:b/>
          <w:bCs/>
          <w:color w:val="1F3864"/>
          <w:sz w:val="30"/>
          <w:szCs w:val="30"/>
        </w:rPr>
        <w:t xml:space="preserve">15. KPIs, registros y control de cambios</w:t>
      </w:r>
    </w:p>
    <w:p>
      <w:pPr>
        <w:pStyle w:val="Heading2"/>
      </w:pPr>
      <w:r>
        <w:rPr>
          <w:rFonts w:ascii="Arial" w:cs="Arial" w:eastAsia="Arial" w:hAnsi="Arial"/>
          <w:b/>
          <w:bCs/>
          <w:color w:val="2E75B6"/>
          <w:sz w:val="24"/>
          <w:szCs w:val="24"/>
        </w:rPr>
        <w:t xml:space="preserve">15.1 Indicadores de desempeño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2200"/>
        <w:gridCol w:w="1200"/>
        <w:gridCol w:w="1300"/>
        <w:gridCol w:w="1500"/>
      </w:tblGrid>
      <w:tr>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KPI</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Nombre</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Cálculo</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Meta</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Frecuencia</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Alerta si...</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K1</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Uso correcto de guantes antivibración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Obs. conformes / Total × 100</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Diario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95%</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Cumplimiento de rotación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Turnos con rotación aplicada / Total × 100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Semanal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90%</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K3</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Estudio de vibración ejecutado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Completado: Sí/No + fecha</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90 días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Mensual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ejecutado al día 90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Reportes de síntomas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 reportes de síntomas por 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Mensual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&gt; 0 (investigar)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K5</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Evaluaciones médicas al día</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Personal evaluado / Total × 100</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Semestral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100%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Mantenimiento preventivo al día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Equipos con MP vigente / Total × 100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Mensual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100%</w:t>
            </w:r>
          </w:p>
        </w:tc>
      </w:tr>
    </w:tbl>
    <w:p>
      <w:r>
        <w:rPr>
          <w:sz w:val="18"/>
          <w:szCs w:val="18"/>
        </w:rPr>
        <w:t xml:space="preserve"> </w:t>
      </w:r>
    </w:p>
    <w:p>
      <w:pPr>
        <w:pStyle w:val="Heading2"/>
      </w:pPr>
      <w:r>
        <w:rPr>
          <w:rFonts w:ascii="Arial" w:cs="Arial" w:eastAsia="Arial" w:hAnsi="Arial"/>
          <w:b/>
          <w:bCs/>
          <w:color w:val="2E75B6"/>
          <w:sz w:val="24"/>
          <w:szCs w:val="24"/>
        </w:rPr>
        <w:t xml:space="preserve">15.2 Registros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500"/>
        <w:gridCol w:w="1200"/>
        <w:gridCol w:w="1000"/>
      </w:tblGrid>
      <w:tr>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de registro</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Código</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Frecuencia</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Retención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Check list verificación vibración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HSE-FRM-CHK-VIB-001</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Verificación diaria de controles y EPP</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Diario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 años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Registro de tiempos de exposición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HSE-FRM-EXP-VIB-001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Control de horas de exposición por operador y equipo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Diario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 años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Informe estudio de vibración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HSE-INF-VIB-001</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Resultados de medición con acelerómetro calibrado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Anual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 años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Historial médico musculoesquelético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HSE-FRM-MED-VIB-001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Evaluaciones periódicas por trabajador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Anual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Permanente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Inspección de maquinaria y EPP</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HSE-FRM-MNT-VIB-001</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Estado de bases antivibratorias, amortiguadores y guantes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Mensual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 años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Reporte de incidente / síntomas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HSE-FRM-INCID-001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Documentación de eventos y síntomas reportados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Inmediato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 años</w:t>
            </w:r>
          </w:p>
        </w:tc>
      </w:tr>
    </w:tbl>
    <w:p>
      <w:r>
        <w:rPr>
          <w:sz w:val="18"/>
          <w:szCs w:val="18"/>
        </w:rPr>
        <w:t xml:space="preserve"> </w:t>
      </w:r>
    </w:p>
    <w:p>
      <w:pPr>
        <w:pStyle w:val="Heading2"/>
      </w:pPr>
      <w:r>
        <w:rPr>
          <w:rFonts w:ascii="Arial" w:cs="Arial" w:eastAsia="Arial" w:hAnsi="Arial"/>
          <w:b/>
          <w:bCs/>
          <w:color w:val="2E75B6"/>
          <w:sz w:val="24"/>
          <w:szCs w:val="24"/>
        </w:rPr>
        <w:t xml:space="preserve">15.3 Control de cambios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4200"/>
        <w:gridCol w:w="1500"/>
        <w:gridCol w:w="1000"/>
      </w:tblGrid>
      <w:tr>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Rev.</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Fecha</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 del cambio</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Elaboró</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Aprobó</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2026-03-23</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Emisión inicial. Incluye hallazgo crítico por ausencia de estudio formal de vibración.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 Montes Cruz</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Gerencia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Actualizar con resultados reales del estudio de vibración (plazo: 90 días)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Gerencia</w:t>
            </w:r>
          </w:p>
        </w:tc>
      </w:tr>
    </w:tbl>
    <w:p>
      <w:r>
        <w:rPr>
          <w:sz w:val="18"/>
          <w:szCs w:val="18"/>
        </w:rPr>
        <w:t xml:space="preserve"> </w:t>
      </w:r>
    </w:p>
    <w:p>
      <w:r>
        <w:rPr>
          <w:sz w:val="18"/>
          <w:szCs w:val="18"/>
        </w:rPr>
        <w:t xml:space="preserve"> </w:t>
      </w:r>
    </w:p>
    <w:p>
      <w:pPr>
        <w:jc w:val="center"/>
      </w:pPr>
      <w:r>
        <w:rPr>
          <w:rFonts w:ascii="Arial" w:cs="Arial" w:eastAsia="Arial" w:hAnsi="Arial"/>
          <w:color w:val="AAAAAA"/>
          <w:sz w:val="16"/>
          <w:szCs w:val="16"/>
        </w:rPr>
        <w:t xml:space="preserve">HSE-PRG-VIB-003  |  Revisión 01  |  2026-03-23  |  METALFORM S.A. de C.V.  |  Documento de uso interno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1"/>
      </w:pBdr>
      <w:spacing w:before="300" w:after="150"/>
      <w:outlineLvl w:val="0"/>
    </w:pPr>
    <w:rPr>
      <w:rFonts w:ascii="Arial" w:cs="Arial" w:eastAsia="Arial" w:hAnsi="Arial"/>
      <w:b/>
      <w:bCs/>
      <w:color w:val="1F3864"/>
      <w:sz w:val="30"/>
      <w:szCs w:val="30"/>
    </w:rPr>
  </w:style>
  <w:style w:type="paragraph" w:styleId="Heading2">
    <w:name w:val="Heading 2"/>
    <w:basedOn w:val="Normal"/>
    <w:next w:val="Normal"/>
    <w:qFormat/>
    <w:pPr>
      <w:spacing w:before="200" w:after="1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2026-03-23T21:51:03.079Z</dcterms:created>
  <dcterms:modified xsi:type="dcterms:W3CDTF">2026-03-23T21:51:03.080Z</dcterms:modified>
</cp:coreProperties>
</file>

<file path=docProps/custom.xml><?xml version="1.0" encoding="utf-8"?>
<Properties xmlns="http://schemas.openxmlformats.org/officeDocument/2006/custom-properties" xmlns:vt="http://schemas.openxmlformats.org/officeDocument/2006/docPropsVTypes"/>
</file>