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MonoReport Syntax &amp; Formatting Showcase</w:t>
      </w:r>
    </w:p>
    <w:p>
      <w:r>
        <w:t>Feature 010 demonstration • Source expressions are shown in the left column; the right column is evaluated using the companion JSON.</w:t>
      </w:r>
    </w:p>
    <w:p>
      <w:pPr>
        <w:pStyle w:val="Heading1"/>
      </w:pPr>
      <w:r>
        <w:t>1. Scalar paths and formatting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0F5"/>
          </w:tcPr>
          <w:p>
            <w:r>
              <w:t>Feature / template expression</w:t>
            </w:r>
          </w:p>
        </w:tc>
        <w:tc>
          <w:tcPr>
            <w:tcW w:type="dxa" w:w="5112"/>
            <w:shd w:fill="EAF0F5"/>
          </w:tcPr>
          <w:p>
            <w:r>
              <w:t>Expected rendered value</w:t>
            </w:r>
          </w:p>
        </w:tc>
      </w:tr>
      <w:tr>
        <w:tc>
          <w:tcPr>
            <w:tcW w:type="dxa" w:w="5112"/>
          </w:tcPr>
          <w:p>
            <w:r>
              <w:t>Simple field: {{Company.Name}}</w:t>
            </w:r>
          </w:p>
        </w:tc>
        <w:tc>
          <w:tcPr>
            <w:tcW w:type="dxa" w:w="5112"/>
          </w:tcPr>
          <w:p>
            <w:r>
              <w:t>Northwind Demo Company</w:t>
            </w:r>
          </w:p>
        </w:tc>
      </w:tr>
      <w:tr>
        <w:tc>
          <w:tcPr>
            <w:tcW w:type="dxa" w:w="5112"/>
          </w:tcPr>
          <w:p>
            <w:r>
              <w:t>Uppercase: {{Text.Mixed upper}}</w:t>
            </w:r>
          </w:p>
        </w:tc>
        <w:tc>
          <w:tcPr>
            <w:tcW w:type="dxa" w:w="5112"/>
          </w:tcPr>
          <w:p>
            <w:r>
              <w:t>HELLO WORLD FROM MONOREPORT</w:t>
            </w:r>
          </w:p>
        </w:tc>
      </w:tr>
      <w:tr>
        <w:tc>
          <w:tcPr>
            <w:tcW w:type="dxa" w:w="5112"/>
          </w:tcPr>
          <w:p>
            <w:r>
              <w:t>Lowercase: {{Text.Mixed lower}}</w:t>
            </w:r>
          </w:p>
        </w:tc>
        <w:tc>
          <w:tcPr>
            <w:tcW w:type="dxa" w:w="5112"/>
          </w:tcPr>
          <w:p>
            <w:r>
              <w:t>hello world from monoreport</w:t>
            </w:r>
          </w:p>
        </w:tc>
      </w:tr>
      <w:tr>
        <w:tc>
          <w:tcPr>
            <w:tcW w:type="dxa" w:w="5112"/>
          </w:tcPr>
          <w:p>
            <w:r>
              <w:t>Capitalize words: {{Text.Mixed caps}}</w:t>
            </w:r>
          </w:p>
        </w:tc>
        <w:tc>
          <w:tcPr>
            <w:tcW w:type="dxa" w:w="5112"/>
          </w:tcPr>
          <w:p>
            <w:r>
              <w:t>HELLO WORLD From MonoReport (non-initial letters unchanged)</w:t>
            </w:r>
          </w:p>
        </w:tc>
      </w:tr>
      <w:tr>
        <w:tc>
          <w:tcPr>
            <w:tcW w:type="dxa" w:w="5112"/>
          </w:tcPr>
          <w:p>
            <w:r>
              <w:t>First letter: {{Text.Mixed firstcap}}</w:t>
            </w:r>
          </w:p>
        </w:tc>
        <w:tc>
          <w:tcPr>
            <w:tcW w:type="dxa" w:w="5112"/>
          </w:tcPr>
          <w:p>
            <w:r>
              <w:t>HELLO wORLD from monoReport</w:t>
            </w:r>
          </w:p>
        </w:tc>
      </w:tr>
      <w:tr>
        <w:tc>
          <w:tcPr>
            <w:tcW w:type="dxa" w:w="5112"/>
          </w:tcPr>
          <w:p>
            <w:r>
              <w:t>Number: {{Amounts.Net number:"N2"}}</w:t>
            </w:r>
          </w:p>
        </w:tc>
        <w:tc>
          <w:tcPr>
            <w:tcW w:type="dxa" w:w="5112"/>
          </w:tcPr>
          <w:p>
            <w:r>
              <w:t>12,345.68 with en-US culture</w:t>
            </w:r>
          </w:p>
        </w:tc>
      </w:tr>
      <w:tr>
        <w:tc>
          <w:tcPr>
            <w:tcW w:type="dxa" w:w="5112"/>
          </w:tcPr>
          <w:p>
            <w:r>
              <w:t>Negative number: {{Amounts.Negative number:"0.00"}}</w:t>
            </w:r>
          </w:p>
        </w:tc>
        <w:tc>
          <w:tcPr>
            <w:tcW w:type="dxa" w:w="5112"/>
          </w:tcPr>
          <w:p>
            <w:r>
              <w:t>-42.51 with en-US culture</w:t>
            </w:r>
          </w:p>
        </w:tc>
      </w:tr>
      <w:tr>
        <w:tc>
          <w:tcPr>
            <w:tcW w:type="dxa" w:w="5112"/>
          </w:tcPr>
          <w:p>
            <w:r>
              <w:t>Date: {{Dates.Issued date:"dd MMM yyyy"}}</w:t>
            </w:r>
          </w:p>
        </w:tc>
        <w:tc>
          <w:tcPr>
            <w:tcW w:type="dxa" w:w="5112"/>
          </w:tcPr>
          <w:p>
            <w:r>
              <w:t>17 Oct 2026 with en-US culture</w:t>
            </w:r>
          </w:p>
        </w:tc>
      </w:tr>
      <w:tr>
        <w:tc>
          <w:tcPr>
            <w:tcW w:type="dxa" w:w="5112"/>
          </w:tcPr>
          <w:p>
            <w:r>
              <w:t>Offset date: {{Dates.Scheduled date:"dd MMM yyyy HH:mm zzz"}}</w:t>
            </w:r>
          </w:p>
        </w:tc>
        <w:tc>
          <w:tcPr>
            <w:tcW w:type="dxa" w:w="5112"/>
          </w:tcPr>
          <w:p>
            <w:r>
              <w:t>21 Oct 2026 14:30 +03:00</w:t>
            </w:r>
          </w:p>
        </w:tc>
      </w:tr>
      <w:tr>
        <w:tc>
          <w:tcPr>
            <w:tcW w:type="dxa" w:w="5112"/>
          </w:tcPr>
          <w:p>
            <w:r>
              <w:t>Russian RUB words: {{Amounts.InWords spellout}}</w:t>
            </w:r>
          </w:p>
        </w:tc>
        <w:tc>
          <w:tcPr>
            <w:tcW w:type="dxa" w:w="5112"/>
          </w:tcPr>
          <w:p>
            <w:r>
              <w:t>Russian words for 1,250 rubles and 75 kopecks</w:t>
            </w:r>
          </w:p>
        </w:tc>
      </w:tr>
    </w:tbl>
    <w:p>
      <w:pPr>
        <w:pStyle w:val="Caption"/>
      </w:pPr>
      <w:r>
        <w:t>Note: Expected number/date formatting assumes MergeOptions.Culture = en-US. The spellout formatter always uses Russian RUB.</w:t>
      </w:r>
    </w:p>
    <w:p>
      <w:pPr>
        <w:pStyle w:val="Heading1"/>
      </w:pPr>
      <w:r>
        <w:t>2. Conditions</w:t>
      </w:r>
    </w:p>
    <w:p>
      <w:r>
        <w:t>Approved status (true branch / false branch):</w:t>
      </w:r>
    </w:p>
    <w:p>
      <w:r>
        <w:t>{If:IsApproved}</w:t>
      </w:r>
    </w:p>
    <w:p>
      <w:r>
        <w:t>APPROVED — the condition is true.</w:t>
      </w:r>
    </w:p>
    <w:p>
      <w:r>
        <w:t>{Else}</w:t>
      </w:r>
    </w:p>
    <w:p>
      <w:r>
        <w:t>PENDING — the condition is false.</w:t>
      </w:r>
    </w:p>
    <w:p>
      <w:r>
        <w:t>{EndIf}</w:t>
      </w:r>
    </w:p>
    <w:p>
      <w:r>
        <w:t>Archive status:</w:t>
      </w:r>
    </w:p>
    <w:p>
      <w:r>
        <w:t>{If:IsArchived}</w:t>
      </w:r>
    </w:p>
    <w:p>
      <w:r>
        <w:t>This record is archived.</w:t>
      </w:r>
    </w:p>
    <w:p>
      <w:r>
        <w:t>{Else}</w:t>
      </w:r>
    </w:p>
    <w:p>
      <w:r>
        <w:t>This record is active.</w:t>
      </w:r>
    </w:p>
    <w:p>
      <w:r>
        <w:t>{EndIf}</w:t>
      </w:r>
    </w:p>
    <w:p>
      <w:pPr>
        <w:pStyle w:val="Heading1"/>
      </w:pPr>
      <w:r>
        <w:t>3. Repeated paragraphs (short scalar array)</w:t>
      </w:r>
    </w:p>
    <w:p>
      <w:r>
        <w:t>The {.} expression prints the current array element:</w:t>
      </w:r>
    </w:p>
    <w:p>
      <w:r>
        <w:t>{For:Tags}</w:t>
      </w:r>
    </w:p>
    <w:p>
      <w:r>
        <w:t>• {. upper}</w:t>
      </w:r>
    </w:p>
    <w:p>
      <w:r>
        <w:t>{EndFor}</w:t>
      </w:r>
    </w:p>
    <w:p>
      <w:pPr>
        <w:pStyle w:val="Heading1"/>
      </w:pPr>
      <w:r>
        <w:t>4. Numbered list of people</w:t>
      </w:r>
    </w:p>
    <w:p>
      <w:r>
        <w:t>Word list numbering is preserved; restarting numbering per loop is not guaranteed.</w:t>
      </w:r>
    </w:p>
    <w:p>
      <w:r>
        <w:t>{For:Employees}</w:t>
      </w:r>
    </w:p>
    <w:p>
      <w:pPr>
        <w:pStyle w:val="ListNumber"/>
      </w:pPr>
      <w:r>
        <w:t>{Name} — {Role}</w:t>
      </w:r>
    </w:p>
    <w:p>
      <w:r>
        <w:t>{EndFor}</w:t>
      </w:r>
    </w:p>
    <w:p>
      <w:pPr>
        <w:pStyle w:val="Heading1"/>
      </w:pPr>
      <w:r>
        <w:t>5. Repeated table 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AF0F5"/>
          </w:tcPr>
          <w:p>
            <w:r>
              <w:t>SKU</w:t>
            </w:r>
          </w:p>
        </w:tc>
        <w:tc>
          <w:tcPr>
            <w:tcW w:type="dxa" w:w="2556"/>
            <w:shd w:fill="EAF0F5"/>
          </w:tcPr>
          <w:p>
            <w:r>
              <w:t>Product</w:t>
            </w:r>
          </w:p>
        </w:tc>
        <w:tc>
          <w:tcPr>
            <w:tcW w:type="dxa" w:w="2556"/>
            <w:shd w:fill="EAF0F5"/>
          </w:tcPr>
          <w:p>
            <w:r>
              <w:t>Quantity</w:t>
            </w:r>
          </w:p>
        </w:tc>
        <w:tc>
          <w:tcPr>
            <w:tcW w:type="dxa" w:w="2556"/>
            <w:shd w:fill="EAF0F5"/>
          </w:tcPr>
          <w:p>
            <w:r>
              <w:t>Price</w:t>
            </w:r>
          </w:p>
        </w:tc>
      </w:tr>
      <w:tr>
        <w:tc>
          <w:tcPr>
            <w:tcW w:type="dxa" w:w="2556"/>
          </w:tcPr>
          <w:p>
            <w:r>
              <w:t>{For:Products}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t>{Sku}</w:t>
            </w:r>
          </w:p>
        </w:tc>
        <w:tc>
          <w:tcPr>
            <w:tcW w:type="dxa" w:w="2556"/>
          </w:tcPr>
          <w:p>
            <w:r>
              <w:t>{Name}</w:t>
            </w:r>
          </w:p>
        </w:tc>
        <w:tc>
          <w:tcPr>
            <w:tcW w:type="dxa" w:w="2556"/>
          </w:tcPr>
          <w:p>
            <w:r>
              <w:t>{Quantity}</w:t>
            </w:r>
          </w:p>
        </w:tc>
        <w:tc>
          <w:tcPr>
            <w:tcW w:type="dxa" w:w="2556"/>
          </w:tcPr>
          <w:p>
            <w:r>
              <w:t>{Price number:"N2"}</w:t>
            </w:r>
          </w:p>
        </w:tc>
      </w:tr>
      <w:tr>
        <w:tc>
          <w:tcPr>
            <w:tcW w:type="dxa" w:w="2556"/>
          </w:tcPr>
          <w:p>
            <w:r>
              <w:t>{EndFor}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>
      <w:pPr>
        <w:pStyle w:val="Heading1"/>
      </w:pPr>
      <w:r>
        <w:t>6. Nested arrays and parent access</w:t>
      </w:r>
    </w:p>
    <w:p>
      <w:r>
        <w:t>Each department repeats its heading; each member repeats a bullet. ../Name accesses the enclosing department.</w:t>
      </w:r>
    </w:p>
    <w:p>
      <w:r>
        <w:t>{For:Departments}</w:t>
      </w:r>
    </w:p>
    <w:p>
      <w:pPr>
        <w:pStyle w:val="Heading2"/>
      </w:pPr>
      <w:r>
        <w:t>Department: {Name}</w:t>
      </w:r>
    </w:p>
    <w:p>
      <w:r>
        <w:t>{For:Members}</w:t>
      </w:r>
    </w:p>
    <w:p>
      <w:pPr>
        <w:pStyle w:val="ListBullet"/>
      </w:pPr>
      <w:r>
        <w:t>{.} — {../Name}</w:t>
      </w:r>
    </w:p>
    <w:p>
      <w:r>
        <w:t>{EndFor}</w:t>
      </w:r>
    </w:p>
    <w:p>
      <w:r>
        <w:t>{EndFor}</w:t>
      </w:r>
    </w:p>
    <w:p>
      <w:pPr>
        <w:pStyle w:val="Heading1"/>
      </w:pPr>
      <w:r>
        <w:t>7. Escaping braces</w:t>
      </w:r>
    </w:p>
    <w:p>
      <w:r>
        <w:t>Literal braces: {{Company.Name}}</w:t>
      </w:r>
    </w:p>
    <w:p>
      <w:r>
        <w:t>Braces around a value: {{{Company.Name}}}</w:t>
      </w:r>
    </w:p>
    <w:p>
      <w:pPr>
        <w:pStyle w:val="Heading1"/>
      </w:pPr>
      <w:r>
        <w:t>8. Root access</w:t>
      </w:r>
    </w:p>
    <w:p>
      <w:r>
        <w:t>Root company from a nested loop:</w:t>
      </w:r>
    </w:p>
    <w:p>
      <w:r>
        <w:t>{For:Employees}</w:t>
      </w:r>
    </w:p>
    <w:p>
      <w:r>
        <w:t>{Name} works at {$.Company.Name}.</w:t>
      </w:r>
    </w:p>
    <w:p>
      <w:r>
        <w:t>{EndFor}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Sample data only  •  MonoReport Feature 010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MONOREPORT  /  TEMPLATE 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6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6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6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