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360" w:line="240" w:lineRule="auto"/>
        <w:ind w:left="0" w:right="0" w:firstLine="0"/>
        <w:jc w:val="center"/>
        <w:rPr>
          <w:rFonts w:ascii="Times New Roman" w:cs="Times New Roman" w:eastAsia="Times New Roman" w:hAnsi="Times New Roman"/>
          <w:b w:val="0"/>
          <w:i w:val="0"/>
          <w:smallCaps w:val="0"/>
          <w:strike w:val="0"/>
          <w:color w:val="000000"/>
          <w:sz w:val="48"/>
          <w:szCs w:val="4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48"/>
          <w:szCs w:val="48"/>
          <w:u w:val="none"/>
          <w:shd w:fill="auto" w:val="clear"/>
          <w:vertAlign w:val="baseline"/>
          <w:rtl w:val="0"/>
        </w:rPr>
        <w:t xml:space="preserve">A Deep Learning and Big Data Approach for Predictive Customer Targeting in Bank Marketing Campaigns</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360" w:line="120" w:lineRule="auto"/>
        <w:ind w:left="0" w:right="0" w:firstLine="0"/>
        <w:jc w:val="center"/>
        <w:rPr>
          <w:rFonts w:ascii="Times New Roman" w:cs="Times New Roman" w:eastAsia="Times New Roman" w:hAnsi="Times New Roman"/>
          <w:b w:val="0"/>
          <w:i w:val="0"/>
          <w:smallCaps w:val="0"/>
          <w:strike w:val="0"/>
          <w:color w:val="000000"/>
          <w:sz w:val="16"/>
          <w:szCs w:val="16"/>
          <w:u w:val="none"/>
          <w:shd w:fill="auto" w:val="clear"/>
          <w:vertAlign w:val="baseline"/>
        </w:rPr>
        <w:sectPr>
          <w:footerReference r:id="rId7" w:type="first"/>
          <w:pgSz w:h="16838" w:w="11906" w:orient="portrait"/>
          <w:pgMar w:bottom="1440" w:top="540" w:left="893" w:right="893" w:header="720" w:footer="720"/>
          <w:pgNumType w:start="1"/>
          <w:titlePg w:val="1"/>
        </w:sect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0" w:line="240" w:lineRule="auto"/>
        <w:ind w:left="0" w:right="0" w:firstLine="0"/>
        <w:jc w:val="center"/>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Joel Albert Montuya</w:t>
        <w:br w:type="textWrapping"/>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College of Computing Technology Dublin</w:t>
      </w: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br w:type="textWrapping"/>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MSc in Data Analytics - Batch Feb 2025</w:t>
        <w:br w:type="textWrapping"/>
      </w: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Dublin, Ireland</w:t>
        <w:br w:type="textWrapping"/>
        <w:t xml:space="preserve">2025040@student.cct.ie</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0" w:line="240" w:lineRule="auto"/>
        <w:ind w:left="0" w:right="0" w:firstLine="0"/>
        <w:jc w:val="center"/>
        <w:rPr>
          <w:rFonts w:ascii="Times New Roman" w:cs="Times New Roman" w:eastAsia="Times New Roman" w:hAnsi="Times New Roman"/>
          <w:b w:val="0"/>
          <w:i w:val="0"/>
          <w:smallCaps w:val="0"/>
          <w:strike w:val="0"/>
          <w:color w:val="000000"/>
          <w:sz w:val="22"/>
          <w:szCs w:val="22"/>
          <w:u w:val="none"/>
          <w:shd w:fill="auto" w:val="clear"/>
          <w:vertAlign w:val="baseline"/>
        </w:rPr>
        <w:sectPr>
          <w:type w:val="continuous"/>
          <w:pgSz w:h="16838" w:w="11906" w:orient="portrait"/>
          <w:pgMar w:bottom="1440" w:top="450" w:left="893" w:right="893" w:header="720" w:footer="720"/>
          <w:cols w:equalWidth="0" w:num="3">
            <w:col w:space="720" w:w="2893.333333333333"/>
            <w:col w:space="720" w:w="2893.333333333333"/>
            <w:col w:space="0" w:w="2893.333333333333"/>
          </w:cols>
        </w:sectPr>
      </w:pPr>
      <w:r w:rsidDel="00000000" w:rsidR="00000000" w:rsidRPr="00000000">
        <w:br w:type="column"/>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5">
      <w:pPr>
        <w:rPr/>
        <w:sectPr>
          <w:type w:val="continuous"/>
          <w:pgSz w:h="16838" w:w="11906" w:orient="portrait"/>
          <w:pgMar w:bottom="1440" w:top="450" w:left="893" w:right="893" w:header="720" w:footer="720"/>
          <w:cols w:equalWidth="0" w:num="3">
            <w:col w:space="720" w:w="2893.333333333333"/>
            <w:col w:space="720" w:w="2893.333333333333"/>
            <w:col w:space="0" w:w="2893.333333333333"/>
          </w:cols>
        </w:sectPr>
      </w:pPr>
      <w:bookmarkStart w:colFirst="0" w:colLast="0" w:name="_heading=h.uytl4mtq9e5o" w:id="0"/>
      <w:bookmarkEnd w:id="0"/>
      <w:r w:rsidDel="00000000" w:rsidR="00000000" w:rsidRPr="00000000">
        <w:br w:type="column"/>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272"/>
        <w:jc w:val="both"/>
        <w:rPr>
          <w:rFonts w:ascii="Times New Roman" w:cs="Times New Roman" w:eastAsia="Times New Roman" w:hAnsi="Times New Roman"/>
          <w:b w:val="1"/>
          <w:i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000000"/>
          <w:sz w:val="18"/>
          <w:szCs w:val="18"/>
          <w:u w:val="none"/>
          <w:shd w:fill="auto" w:val="clear"/>
          <w:vertAlign w:val="baseline"/>
          <w:rtl w:val="0"/>
        </w:rPr>
        <w:t xml:space="preserve">Abstract</w:t>
      </w: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 Times New Roman 9  Bold</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274"/>
        <w:jc w:val="both"/>
        <w:rPr>
          <w:rFonts w:ascii="Times New Roman" w:cs="Times New Roman" w:eastAsia="Times New Roman" w:hAnsi="Times New Roman"/>
          <w:b w:val="1"/>
          <w:i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000000"/>
          <w:sz w:val="18"/>
          <w:szCs w:val="18"/>
          <w:u w:val="none"/>
          <w:shd w:fill="auto" w:val="clear"/>
          <w:vertAlign w:val="baseline"/>
          <w:rtl w:val="0"/>
        </w:rPr>
        <w:t xml:space="preserve">Keywords—component, formatting, style, styling, insert (</w:t>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key words</w:t>
      </w:r>
      <w:r w:rsidDel="00000000" w:rsidR="00000000" w:rsidRPr="00000000">
        <w:rPr>
          <w:rFonts w:ascii="Times New Roman" w:cs="Times New Roman" w:eastAsia="Times New Roman" w:hAnsi="Times New Roman"/>
          <w:b w:val="1"/>
          <w:i w:val="1"/>
          <w:smallCaps w:val="0"/>
          <w:strike w:val="0"/>
          <w:color w:val="000000"/>
          <w:sz w:val="18"/>
          <w:szCs w:val="18"/>
          <w:u w:val="none"/>
          <w:shd w:fill="auto" w:val="clear"/>
          <w:vertAlign w:val="baseline"/>
          <w:rtl w:val="0"/>
        </w:rPr>
        <w:t xml:space="preserve">)</w:t>
      </w:r>
    </w:p>
    <w:p w:rsidR="00000000" w:rsidDel="00000000" w:rsidP="00000000" w:rsidRDefault="00000000" w:rsidRPr="00000000" w14:paraId="00000008">
      <w:pPr>
        <w:pStyle w:val="Heading1"/>
        <w:numPr>
          <w:ilvl w:val="0"/>
          <w:numId w:val="2"/>
        </w:numPr>
        <w:tabs>
          <w:tab w:val="left" w:leader="none" w:pos="216"/>
        </w:tabs>
        <w:ind w:left="0" w:firstLine="216"/>
        <w:rPr/>
      </w:pPr>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09">
      <w:pPr>
        <w:tabs>
          <w:tab w:val="left" w:leader="none" w:pos="288"/>
        </w:tabs>
        <w:spacing w:after="240" w:before="240" w:line="228" w:lineRule="auto"/>
        <w:jc w:val="both"/>
        <w:rPr/>
      </w:pPr>
      <w:r w:rsidDel="00000000" w:rsidR="00000000" w:rsidRPr="00000000">
        <w:rPr>
          <w:rtl w:val="0"/>
        </w:rPr>
        <w:tab/>
        <w:t xml:space="preserve">In recent years, companies have increasingly employed data-driven approaches and machine learning techniques to gather business and customer insights, enabling the development of efficient and competitive marketing strategies. According to McKinsey and Company (2013), this effort has led to an improved performance in productivity and profitability compared to competitors by 5-6% and a 15-20% increase in marketing return on investment (MROI). Data-driven technologies have become essential for businesses to survive and effectively adapt to a frequently changing market, driven by rapid technological growth (Sylvestre, 2024).</w:t>
      </w:r>
    </w:p>
    <w:p w:rsidR="00000000" w:rsidDel="00000000" w:rsidP="00000000" w:rsidRDefault="00000000" w:rsidRPr="00000000" w14:paraId="0000000A">
      <w:pPr>
        <w:pStyle w:val="Heading2"/>
        <w:numPr>
          <w:ilvl w:val="0"/>
          <w:numId w:val="1"/>
        </w:numPr>
        <w:tabs>
          <w:tab w:val="left" w:leader="none" w:pos="288"/>
        </w:tabs>
        <w:spacing w:after="240" w:before="240" w:line="228" w:lineRule="auto"/>
        <w:ind w:left="425.19685039370086" w:hanging="360"/>
        <w:jc w:val="both"/>
        <w:rPr/>
      </w:pPr>
      <w:bookmarkStart w:colFirst="0" w:colLast="0" w:name="_heading=h.jh3waggl6l5f" w:id="1"/>
      <w:bookmarkEnd w:id="1"/>
      <w:r w:rsidDel="00000000" w:rsidR="00000000" w:rsidRPr="00000000">
        <w:rPr>
          <w:rtl w:val="0"/>
        </w:rPr>
        <w:t xml:space="preserve">Big Data and Advancements of Technologies in Marketing </w:t>
      </w:r>
    </w:p>
    <w:p w:rsidR="00000000" w:rsidDel="00000000" w:rsidP="00000000" w:rsidRDefault="00000000" w:rsidRPr="00000000" w14:paraId="0000000B">
      <w:pPr>
        <w:pStyle w:val="Heading2"/>
        <w:tabs>
          <w:tab w:val="left" w:leader="none" w:pos="288"/>
        </w:tabs>
        <w:spacing w:after="240" w:before="240" w:line="228" w:lineRule="auto"/>
        <w:ind w:left="0" w:firstLine="0"/>
        <w:jc w:val="both"/>
        <w:rPr>
          <w:i w:val="0"/>
        </w:rPr>
      </w:pPr>
      <w:bookmarkStart w:colFirst="0" w:colLast="0" w:name="_heading=h.zaex1au7peww" w:id="2"/>
      <w:bookmarkEnd w:id="2"/>
      <w:r w:rsidDel="00000000" w:rsidR="00000000" w:rsidRPr="00000000">
        <w:rPr>
          <w:i w:val="0"/>
          <w:rtl w:val="0"/>
        </w:rPr>
        <w:tab/>
      </w:r>
      <w:r w:rsidDel="00000000" w:rsidR="00000000" w:rsidRPr="00000000">
        <w:rPr>
          <w:i w:val="0"/>
          <w:rtl w:val="0"/>
        </w:rPr>
        <w:t xml:space="preserve">Big Data has emerged as large amounts of data being collected and stored due to the increase in digital connectivity.</w:t>
      </w:r>
      <w:r w:rsidDel="00000000" w:rsidR="00000000" w:rsidRPr="00000000">
        <w:rPr>
          <w:i w:val="0"/>
          <w:rtl w:val="0"/>
        </w:rPr>
        <w:t xml:space="preserve"> Social media posts, IoT devices, and the surge of other emerging data sources contribute to the growing pool of information. These datasets are processed to strengthen decision-making, customer satisfaction, and operational efficiency. Furthermore, other systems such as large language models (LLMs), generative AI, and machine learning models are implemented, which drive innovation and sustain a competitive edge amongst businesses (IBM, 2024). </w:t>
      </w:r>
    </w:p>
    <w:p w:rsidR="00000000" w:rsidDel="00000000" w:rsidP="00000000" w:rsidRDefault="00000000" w:rsidRPr="00000000" w14:paraId="0000000C">
      <w:pPr>
        <w:pStyle w:val="Heading2"/>
        <w:numPr>
          <w:ilvl w:val="0"/>
          <w:numId w:val="1"/>
        </w:numPr>
        <w:tabs>
          <w:tab w:val="left" w:leader="none" w:pos="288"/>
        </w:tabs>
        <w:spacing w:after="120" w:line="228" w:lineRule="auto"/>
        <w:ind w:left="425.19685039370086" w:hanging="360"/>
        <w:jc w:val="both"/>
        <w:rPr/>
      </w:pPr>
      <w:bookmarkStart w:colFirst="0" w:colLast="0" w:name="_heading=h.blxswm2uutwf" w:id="3"/>
      <w:bookmarkEnd w:id="3"/>
      <w:r w:rsidDel="00000000" w:rsidR="00000000" w:rsidRPr="00000000">
        <w:rPr>
          <w:rtl w:val="0"/>
        </w:rPr>
        <w:t xml:space="preserve">Importance of Data-Driven Marketing Campaigns</w:t>
      </w:r>
    </w:p>
    <w:p w:rsidR="00000000" w:rsidDel="00000000" w:rsidP="00000000" w:rsidRDefault="00000000" w:rsidRPr="00000000" w14:paraId="0000000D">
      <w:pPr>
        <w:tabs>
          <w:tab w:val="left" w:leader="none" w:pos="288"/>
        </w:tabs>
        <w:spacing w:after="120" w:line="228" w:lineRule="auto"/>
        <w:ind w:firstLine="288"/>
        <w:jc w:val="both"/>
        <w:rPr/>
      </w:pPr>
      <w:r w:rsidDel="00000000" w:rsidR="00000000" w:rsidRPr="00000000">
        <w:rPr>
          <w:rtl w:val="0"/>
        </w:rPr>
        <w:t xml:space="preserve">Marketing campaigns are crucial to a business’s growth and success.</w:t>
      </w:r>
      <w:r w:rsidDel="00000000" w:rsidR="00000000" w:rsidRPr="00000000">
        <w:rPr>
          <w:rtl w:val="0"/>
        </w:rPr>
        <w:t xml:space="preserve"> By reaching the correct target audiences,  they aid businesses in building brand awareness and driving revenue growth (Wan, 2023).  The accurate execution of these campaigns can lead businesses to allocate resources effectively, promote customer retention, and gather customer insights to solidify future marketing strategies (Iragar, 2021). In contrast, a poorly executed campaign may lead to marketing waste, financial losses, poor customer engagement, and potential damage to the brand's reputation. Therefore, careful planning together with data-driven targeting will maximize marketing return on investment, develop customer loyalty, and ensure business sustainability.</w:t>
      </w:r>
    </w:p>
    <w:p w:rsidR="00000000" w:rsidDel="00000000" w:rsidP="00000000" w:rsidRDefault="00000000" w:rsidRPr="00000000" w14:paraId="0000000E">
      <w:pPr>
        <w:pStyle w:val="Heading2"/>
        <w:numPr>
          <w:ilvl w:val="0"/>
          <w:numId w:val="1"/>
        </w:numPr>
        <w:tabs>
          <w:tab w:val="left" w:leader="none" w:pos="288"/>
        </w:tabs>
        <w:spacing w:after="120" w:line="228" w:lineRule="auto"/>
        <w:ind w:left="425.19685039370086" w:hanging="360"/>
        <w:jc w:val="both"/>
        <w:rPr/>
      </w:pPr>
      <w:bookmarkStart w:colFirst="0" w:colLast="0" w:name="_heading=h.2f8btiwq4xbi" w:id="4"/>
      <w:bookmarkEnd w:id="4"/>
      <w:r w:rsidDel="00000000" w:rsidR="00000000" w:rsidRPr="00000000">
        <w:rPr>
          <w:rtl w:val="0"/>
        </w:rPr>
        <w:t xml:space="preserve">Statement of the Problem</w:t>
      </w:r>
    </w:p>
    <w:p w:rsidR="00000000" w:rsidDel="00000000" w:rsidP="00000000" w:rsidRDefault="00000000" w:rsidRPr="00000000" w14:paraId="0000000F">
      <w:pPr>
        <w:tabs>
          <w:tab w:val="left" w:leader="none" w:pos="288"/>
        </w:tabs>
        <w:ind w:left="0" w:firstLine="0"/>
        <w:jc w:val="left"/>
        <w:rPr/>
      </w:pPr>
      <w:r w:rsidDel="00000000" w:rsidR="00000000" w:rsidRPr="00000000">
        <w:rPr>
          <w:rtl w:val="0"/>
        </w:rPr>
        <w:tab/>
        <w:t xml:space="preserve">As businesses are trying to maximize their return on investment (ROI) through allocating correct resources</w:t>
      </w:r>
    </w:p>
    <w:p w:rsidR="00000000" w:rsidDel="00000000" w:rsidP="00000000" w:rsidRDefault="00000000" w:rsidRPr="00000000" w14:paraId="00000010">
      <w:pPr>
        <w:pStyle w:val="Heading2"/>
        <w:numPr>
          <w:ilvl w:val="0"/>
          <w:numId w:val="1"/>
        </w:numPr>
        <w:tabs>
          <w:tab w:val="left" w:leader="none" w:pos="288"/>
        </w:tabs>
        <w:spacing w:after="120" w:line="228" w:lineRule="auto"/>
        <w:ind w:left="425.19685039370086" w:hanging="360"/>
        <w:jc w:val="both"/>
        <w:rPr/>
      </w:pPr>
      <w:bookmarkStart w:colFirst="0" w:colLast="0" w:name="_heading=h.q01p1blrvy04" w:id="5"/>
      <w:bookmarkEnd w:id="5"/>
      <w:r w:rsidDel="00000000" w:rsidR="00000000" w:rsidRPr="00000000">
        <w:rPr>
          <w:rtl w:val="0"/>
        </w:rPr>
        <w:t xml:space="preserve">Research Objectives</w:t>
      </w:r>
    </w:p>
    <w:p w:rsidR="00000000" w:rsidDel="00000000" w:rsidP="00000000" w:rsidRDefault="00000000" w:rsidRPr="00000000" w14:paraId="00000011">
      <w:pPr>
        <w:tabs>
          <w:tab w:val="left" w:leader="none" w:pos="288"/>
        </w:tabs>
        <w:spacing w:after="120" w:line="228" w:lineRule="auto"/>
        <w:jc w:val="both"/>
        <w:rPr>
          <w:sz w:val="16"/>
          <w:szCs w:val="16"/>
        </w:rPr>
      </w:pPr>
      <w:r w:rsidDel="00000000" w:rsidR="00000000" w:rsidRPr="00000000">
        <w:rPr>
          <w:highlight w:val="white"/>
          <w:rtl w:val="0"/>
        </w:rPr>
        <w:t xml:space="preserve">This study aims to develop a predictive customer-targeting marketing campaign system by integrating Big Data and Deep Learning architectures. For storage and data processing, this project will utilize Hadoop Distributed File System (HDFS) and an Artificial Neural Network (ANN) model to classify the most appropriate customers. The generated model will be benchmarked against other traditional machine learning approaches, including Decision Trees (DT), Random Forests (RF), and any other applicable classification techniques to determine the most appropriate model for the study. The main focus of this research is to aid the bank in efficiently and effectively managing its marketing campaigns by improving the predictive power of customer targeting to those most likely to accept the marketing offer.</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2">
      <w:pPr>
        <w:pStyle w:val="Heading2"/>
        <w:numPr>
          <w:ilvl w:val="0"/>
          <w:numId w:val="1"/>
        </w:numPr>
        <w:tabs>
          <w:tab w:val="left" w:leader="none" w:pos="288"/>
        </w:tabs>
        <w:spacing w:after="120" w:line="228" w:lineRule="auto"/>
        <w:ind w:left="425.19685039370086" w:hanging="360"/>
        <w:jc w:val="both"/>
        <w:rPr/>
      </w:pPr>
      <w:bookmarkStart w:colFirst="0" w:colLast="0" w:name="_heading=h.21ih3qk3lnn1" w:id="6"/>
      <w:bookmarkEnd w:id="6"/>
      <w:r w:rsidDel="00000000" w:rsidR="00000000" w:rsidRPr="00000000">
        <w:rPr>
          <w:rtl w:val="0"/>
        </w:rPr>
        <w:t xml:space="preserve">Significance of the Study</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0"/>
        <w:jc w:val="both"/>
        <w:rPr>
          <w:highlight w:val="white"/>
        </w:rPr>
      </w:pPr>
      <w:r w:rsidDel="00000000" w:rsidR="00000000" w:rsidRPr="00000000">
        <w:rPr>
          <w:rtl w:val="0"/>
        </w:rPr>
      </w:r>
    </w:p>
    <w:p w:rsidR="00000000" w:rsidDel="00000000" w:rsidP="00000000" w:rsidRDefault="00000000" w:rsidRPr="00000000" w14:paraId="00000014">
      <w:pPr>
        <w:pStyle w:val="Heading1"/>
        <w:numPr>
          <w:ilvl w:val="0"/>
          <w:numId w:val="2"/>
        </w:numPr>
        <w:tabs>
          <w:tab w:val="left" w:leader="none" w:pos="216"/>
        </w:tabs>
        <w:ind w:left="0" w:firstLine="216"/>
        <w:rPr/>
      </w:pPr>
      <w:r w:rsidDel="00000000" w:rsidR="00000000" w:rsidRPr="00000000">
        <w:rPr>
          <w:rtl w:val="0"/>
        </w:rPr>
        <w:t xml:space="preserve">Overview &amp; State of the Art</w:t>
      </w:r>
      <w:r w:rsidDel="00000000" w:rsidR="00000000" w:rsidRPr="00000000">
        <w:rPr>
          <w:rtl w:val="0"/>
        </w:rPr>
      </w:r>
    </w:p>
    <w:p w:rsidR="00000000" w:rsidDel="00000000" w:rsidP="00000000" w:rsidRDefault="00000000" w:rsidRPr="00000000" w14:paraId="00000015">
      <w:pPr>
        <w:tabs>
          <w:tab w:val="left" w:leader="none" w:pos="216"/>
        </w:tabs>
        <w:jc w:val="left"/>
        <w:rPr/>
      </w:pPr>
      <w:r w:rsidDel="00000000" w:rsidR="00000000" w:rsidRPr="00000000">
        <w:rPr>
          <w:rtl w:val="0"/>
        </w:rPr>
        <w:tab/>
      </w:r>
      <w:r w:rsidDel="00000000" w:rsidR="00000000" w:rsidRPr="00000000">
        <w:rPr>
          <w:rtl w:val="0"/>
        </w:rPr>
        <w:t xml:space="preserve">The project employs the Hadoop Distributed File System (HDFS) for storage and processing, where datasets are sourced for model training.</w:t>
      </w:r>
      <w:r w:rsidDel="00000000" w:rsidR="00000000" w:rsidRPr="00000000">
        <w:rPr>
          <w:rtl w:val="0"/>
        </w:rPr>
        <w:t xml:space="preserve"> The rendered models and scalers are automatically uploaded to the HDFS for portability and ease of deployment. A separate service was created to accommodate post requests from users, and the system will predict whether a customer is best suited for the campaign. Each result is also stored in HDFS for future retrieval. Different frameworks are also utilized, such as Tensorflow, PySpark, and FastAPI, to streamline the development process.   </w:t>
      </w:r>
    </w:p>
    <w:p w:rsidR="00000000" w:rsidDel="00000000" w:rsidP="00000000" w:rsidRDefault="00000000" w:rsidRPr="00000000" w14:paraId="00000016">
      <w:pPr>
        <w:tabs>
          <w:tab w:val="left" w:leader="none" w:pos="216"/>
        </w:tabs>
        <w:jc w:val="left"/>
        <w:rPr/>
      </w:pPr>
      <w:r w:rsidDel="00000000" w:rsidR="00000000" w:rsidRPr="00000000">
        <w:rPr>
          <w:rtl w:val="0"/>
        </w:rPr>
      </w:r>
    </w:p>
    <w:p w:rsidR="00000000" w:rsidDel="00000000" w:rsidP="00000000" w:rsidRDefault="00000000" w:rsidRPr="00000000" w14:paraId="00000017">
      <w:pPr>
        <w:pStyle w:val="Heading2"/>
        <w:numPr>
          <w:ilvl w:val="0"/>
          <w:numId w:val="7"/>
        </w:numPr>
        <w:tabs>
          <w:tab w:val="left" w:leader="none" w:pos="216"/>
        </w:tabs>
        <w:ind w:left="720" w:hanging="360"/>
        <w:jc w:val="left"/>
        <w:rPr/>
      </w:pPr>
      <w:bookmarkStart w:colFirst="0" w:colLast="0" w:name="_heading=h.2cosw2mhfsj0" w:id="7"/>
      <w:bookmarkEnd w:id="7"/>
      <w:r w:rsidDel="00000000" w:rsidR="00000000" w:rsidRPr="00000000">
        <w:rPr>
          <w:rtl w:val="0"/>
        </w:rPr>
        <w:t xml:space="preserve">High-level Architecture </w:t>
      </w:r>
      <w:r w:rsidDel="00000000" w:rsidR="00000000" w:rsidRPr="00000000">
        <w:drawing>
          <wp:anchor allowOverlap="1" behindDoc="0" distB="114300" distT="114300" distL="114300" distR="114300" hidden="0" layoutInCell="1" locked="0" relativeHeight="0" simplePos="0">
            <wp:simplePos x="0" y="0"/>
            <wp:positionH relativeFrom="column">
              <wp:posOffset>121285</wp:posOffset>
            </wp:positionH>
            <wp:positionV relativeFrom="paragraph">
              <wp:posOffset>269863</wp:posOffset>
            </wp:positionV>
            <wp:extent cx="2848928" cy="1466223"/>
            <wp:effectExtent b="0" l="0" r="0" t="0"/>
            <wp:wrapTopAndBottom distB="114300" distT="11430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848928" cy="1466223"/>
                    </a:xfrm>
                    <a:prstGeom prst="rect"/>
                    <a:ln/>
                  </pic:spPr>
                </pic:pic>
              </a:graphicData>
            </a:graphic>
          </wp:anchor>
        </w:drawing>
      </w:r>
    </w:p>
    <w:p w:rsidR="00000000" w:rsidDel="00000000" w:rsidP="00000000" w:rsidRDefault="00000000" w:rsidRPr="00000000" w14:paraId="00000018">
      <w:pPr>
        <w:tabs>
          <w:tab w:val="left" w:leader="none" w:pos="216"/>
        </w:tabs>
        <w:ind w:left="0" w:firstLine="0"/>
        <w:jc w:val="left"/>
        <w:rPr/>
      </w:pPr>
      <w:r w:rsidDel="00000000" w:rsidR="00000000" w:rsidRPr="00000000">
        <w:rPr>
          <w:rtl w:val="0"/>
        </w:rPr>
        <w:t xml:space="preserve">    Model Training:</w:t>
      </w:r>
    </w:p>
    <w:p w:rsidR="00000000" w:rsidDel="00000000" w:rsidP="00000000" w:rsidRDefault="00000000" w:rsidRPr="00000000" w14:paraId="00000019">
      <w:pPr>
        <w:numPr>
          <w:ilvl w:val="0"/>
          <w:numId w:val="9"/>
        </w:numPr>
        <w:tabs>
          <w:tab w:val="left" w:leader="none" w:pos="216"/>
        </w:tabs>
        <w:ind w:left="720" w:hanging="360"/>
        <w:jc w:val="left"/>
        <w:rPr>
          <w:i w:val="1"/>
        </w:rPr>
      </w:pPr>
      <w:r w:rsidDel="00000000" w:rsidR="00000000" w:rsidRPr="00000000">
        <w:rPr>
          <w:i w:val="1"/>
          <w:rtl w:val="0"/>
        </w:rPr>
        <w:t xml:space="preserve">Location: </w:t>
      </w:r>
      <w:r w:rsidDel="00000000" w:rsidR="00000000" w:rsidRPr="00000000">
        <w:rPr>
          <w:i w:val="1"/>
          <w:rtl w:val="0"/>
        </w:rPr>
        <w:t xml:space="preserve">/marketing_campaign/train_data</w:t>
      </w:r>
    </w:p>
    <w:p w:rsidR="00000000" w:rsidDel="00000000" w:rsidP="00000000" w:rsidRDefault="00000000" w:rsidRPr="00000000" w14:paraId="0000001A">
      <w:pPr>
        <w:tabs>
          <w:tab w:val="left" w:leader="none" w:pos="216"/>
        </w:tabs>
        <w:ind w:left="720" w:firstLine="0"/>
        <w:jc w:val="left"/>
        <w:rPr>
          <w:sz w:val="16"/>
          <w:szCs w:val="16"/>
        </w:rPr>
      </w:pPr>
      <w:r w:rsidDel="00000000" w:rsidR="00000000" w:rsidRPr="00000000">
        <w:rPr>
          <w:highlight w:val="white"/>
          <w:rtl w:val="0"/>
        </w:rPr>
        <w:t xml:space="preserve">The dataset was downloaded from HDFS using Apache Spark API, then went through data processing and Deep Learning using ANN and other traditional machine learning methods.</w:t>
      </w:r>
      <w:r w:rsidDel="00000000" w:rsidR="00000000" w:rsidRPr="00000000">
        <w:rPr>
          <w:rtl w:val="0"/>
        </w:rPr>
      </w:r>
    </w:p>
    <w:p w:rsidR="00000000" w:rsidDel="00000000" w:rsidP="00000000" w:rsidRDefault="00000000" w:rsidRPr="00000000" w14:paraId="0000001B">
      <w:pPr>
        <w:numPr>
          <w:ilvl w:val="0"/>
          <w:numId w:val="9"/>
        </w:numPr>
        <w:tabs>
          <w:tab w:val="left" w:leader="none" w:pos="216"/>
        </w:tabs>
        <w:ind w:left="720" w:hanging="360"/>
        <w:jc w:val="left"/>
        <w:rPr>
          <w:i w:val="1"/>
        </w:rPr>
      </w:pPr>
      <w:r w:rsidDel="00000000" w:rsidR="00000000" w:rsidRPr="00000000">
        <w:rPr>
          <w:i w:val="1"/>
          <w:rtl w:val="0"/>
        </w:rPr>
        <w:t xml:space="preserve">Location: /marketing_campaign/models</w:t>
      </w:r>
    </w:p>
    <w:p w:rsidR="00000000" w:rsidDel="00000000" w:rsidP="00000000" w:rsidRDefault="00000000" w:rsidRPr="00000000" w14:paraId="0000001C">
      <w:pPr>
        <w:tabs>
          <w:tab w:val="left" w:leader="none" w:pos="216"/>
        </w:tabs>
        <w:ind w:left="720" w:firstLine="0"/>
        <w:jc w:val="left"/>
        <w:rPr>
          <w:sz w:val="16"/>
          <w:szCs w:val="16"/>
        </w:rPr>
      </w:pPr>
      <w:r w:rsidDel="00000000" w:rsidR="00000000" w:rsidRPr="00000000">
        <w:rPr>
          <w:highlight w:val="white"/>
          <w:rtl w:val="0"/>
        </w:rPr>
        <w:t xml:space="preserve">The generated model and scalers are automatically uploaded directly to HDFS for deployment. A custom function was created to accommodate this functionality, utilizing packages such as HDFS InsecureClient for file transfer and the joblib package for extracting scalers. </w:t>
      </w:r>
      <w:r w:rsidDel="00000000" w:rsidR="00000000" w:rsidRPr="00000000">
        <w:rPr>
          <w:rtl w:val="0"/>
        </w:rPr>
      </w:r>
    </w:p>
    <w:p w:rsidR="00000000" w:rsidDel="00000000" w:rsidP="00000000" w:rsidRDefault="00000000" w:rsidRPr="00000000" w14:paraId="0000001D">
      <w:pPr>
        <w:tabs>
          <w:tab w:val="left" w:leader="none" w:pos="216"/>
        </w:tabs>
        <w:ind w:left="720" w:firstLine="0"/>
        <w:jc w:val="left"/>
        <w:rPr/>
      </w:pPr>
      <w:r w:rsidDel="00000000" w:rsidR="00000000" w:rsidRPr="00000000">
        <w:rPr>
          <w:rtl w:val="0"/>
        </w:rPr>
      </w:r>
    </w:p>
    <w:p w:rsidR="00000000" w:rsidDel="00000000" w:rsidP="00000000" w:rsidRDefault="00000000" w:rsidRPr="00000000" w14:paraId="0000001E">
      <w:pPr>
        <w:tabs>
          <w:tab w:val="left" w:leader="none" w:pos="216"/>
        </w:tabs>
        <w:ind w:left="0" w:firstLine="0"/>
        <w:jc w:val="left"/>
        <w:rPr/>
      </w:pPr>
      <w:r w:rsidDel="00000000" w:rsidR="00000000" w:rsidRPr="00000000">
        <w:rPr>
          <w:rtl w:val="0"/>
        </w:rPr>
        <w:t xml:space="preserve">   Deployment: Customer Targeting Service</w:t>
      </w:r>
    </w:p>
    <w:p w:rsidR="00000000" w:rsidDel="00000000" w:rsidP="00000000" w:rsidRDefault="00000000" w:rsidRPr="00000000" w14:paraId="0000001F">
      <w:pPr>
        <w:numPr>
          <w:ilvl w:val="0"/>
          <w:numId w:val="9"/>
        </w:numPr>
        <w:tabs>
          <w:tab w:val="left" w:leader="none" w:pos="216"/>
        </w:tabs>
        <w:ind w:left="720" w:hanging="360"/>
        <w:jc w:val="left"/>
        <w:rPr>
          <w:i w:val="1"/>
        </w:rPr>
      </w:pPr>
      <w:r w:rsidDel="00000000" w:rsidR="00000000" w:rsidRPr="00000000">
        <w:rPr>
          <w:i w:val="1"/>
          <w:rtl w:val="0"/>
        </w:rPr>
        <w:t xml:space="preserve">Location: /marketing_campaign/models</w:t>
      </w:r>
    </w:p>
    <w:p w:rsidR="00000000" w:rsidDel="00000000" w:rsidP="00000000" w:rsidRDefault="00000000" w:rsidRPr="00000000" w14:paraId="00000020">
      <w:pPr>
        <w:tabs>
          <w:tab w:val="left" w:leader="none" w:pos="216"/>
        </w:tabs>
        <w:ind w:left="720" w:firstLine="0"/>
        <w:jc w:val="left"/>
        <w:rPr>
          <w:sz w:val="16"/>
          <w:szCs w:val="16"/>
        </w:rPr>
      </w:pPr>
      <w:r w:rsidDel="00000000" w:rsidR="00000000" w:rsidRPr="00000000">
        <w:rPr>
          <w:highlight w:val="white"/>
          <w:rtl w:val="0"/>
        </w:rPr>
        <w:t xml:space="preserve">The model can be deployed by using a custom function that pulls the image from HDFS using InsecureClient. The model was loaded using TensorFlow packages, and then the metrics. Similarly with the scaler was reutilized for processing data received from the API request.</w:t>
      </w:r>
      <w:r w:rsidDel="00000000" w:rsidR="00000000" w:rsidRPr="00000000">
        <w:rPr>
          <w:rtl w:val="0"/>
        </w:rPr>
      </w:r>
    </w:p>
    <w:p w:rsidR="00000000" w:rsidDel="00000000" w:rsidP="00000000" w:rsidRDefault="00000000" w:rsidRPr="00000000" w14:paraId="00000021">
      <w:pPr>
        <w:numPr>
          <w:ilvl w:val="0"/>
          <w:numId w:val="8"/>
        </w:numPr>
        <w:tabs>
          <w:tab w:val="left" w:leader="none" w:pos="216"/>
        </w:tabs>
        <w:ind w:left="720" w:hanging="360"/>
        <w:jc w:val="left"/>
        <w:rPr>
          <w:i w:val="1"/>
        </w:rPr>
      </w:pPr>
      <w:r w:rsidDel="00000000" w:rsidR="00000000" w:rsidRPr="00000000">
        <w:rPr>
          <w:i w:val="1"/>
          <w:rtl w:val="0"/>
        </w:rPr>
        <w:t xml:space="preserve">Post Request: /customers</w:t>
      </w:r>
    </w:p>
    <w:p w:rsidR="00000000" w:rsidDel="00000000" w:rsidP="00000000" w:rsidRDefault="00000000" w:rsidRPr="00000000" w14:paraId="00000022">
      <w:pPr>
        <w:tabs>
          <w:tab w:val="left" w:leader="none" w:pos="216"/>
        </w:tabs>
        <w:ind w:left="720" w:firstLine="0"/>
        <w:jc w:val="left"/>
        <w:rPr>
          <w:sz w:val="16"/>
          <w:szCs w:val="16"/>
        </w:rPr>
      </w:pPr>
      <w:r w:rsidDel="00000000" w:rsidR="00000000" w:rsidRPr="00000000">
        <w:rPr>
          <w:highlight w:val="white"/>
          <w:rtl w:val="0"/>
        </w:rPr>
        <w:t xml:space="preserve">Users can send API Post Requests to the service containing the required customers' details for model prediction.</w:t>
      </w:r>
      <w:r w:rsidDel="00000000" w:rsidR="00000000" w:rsidRPr="00000000">
        <w:rPr>
          <w:rtl w:val="0"/>
        </w:rPr>
      </w:r>
    </w:p>
    <w:p w:rsidR="00000000" w:rsidDel="00000000" w:rsidP="00000000" w:rsidRDefault="00000000" w:rsidRPr="00000000" w14:paraId="00000023">
      <w:pPr>
        <w:tabs>
          <w:tab w:val="left" w:leader="none" w:pos="216"/>
        </w:tabs>
        <w:ind w:left="0" w:firstLine="0"/>
        <w:jc w:val="left"/>
        <w:rPr>
          <w:i w:val="1"/>
        </w:rPr>
      </w:pPr>
      <w:r w:rsidDel="00000000" w:rsidR="00000000" w:rsidRPr="00000000">
        <w:rPr>
          <w:i w:val="1"/>
          <w:rtl w:val="0"/>
        </w:rPr>
        <w:tab/>
        <w:t xml:space="preserve">   4.   Location: /marketing_campaign/sql</w:t>
      </w:r>
    </w:p>
    <w:p w:rsidR="00000000" w:rsidDel="00000000" w:rsidP="00000000" w:rsidRDefault="00000000" w:rsidRPr="00000000" w14:paraId="00000024">
      <w:pPr>
        <w:tabs>
          <w:tab w:val="left" w:leader="none" w:pos="216"/>
        </w:tabs>
        <w:ind w:left="708.6614173228347" w:firstLine="0"/>
        <w:jc w:val="left"/>
        <w:rPr>
          <w:sz w:val="16"/>
          <w:szCs w:val="16"/>
        </w:rPr>
      </w:pPr>
      <w:r w:rsidDel="00000000" w:rsidR="00000000" w:rsidRPr="00000000">
        <w:rPr>
          <w:i w:val="1"/>
          <w:rtl w:val="0"/>
        </w:rPr>
        <w:tab/>
      </w:r>
      <w:r w:rsidDel="00000000" w:rsidR="00000000" w:rsidRPr="00000000">
        <w:rPr>
          <w:highlight w:val="white"/>
          <w:rtl w:val="0"/>
        </w:rPr>
        <w:t xml:space="preserve">The API will send a response to the user if the customer is fit for the campaign. Results are also stored in HDFS in a table format using Spark SQL for future retrieval of the accumulated result.</w:t>
      </w:r>
      <w:r w:rsidDel="00000000" w:rsidR="00000000" w:rsidRPr="00000000">
        <w:rPr>
          <w:rtl w:val="0"/>
        </w:rPr>
      </w:r>
    </w:p>
    <w:p w:rsidR="00000000" w:rsidDel="00000000" w:rsidP="00000000" w:rsidRDefault="00000000" w:rsidRPr="00000000" w14:paraId="00000025">
      <w:pPr>
        <w:tabs>
          <w:tab w:val="left" w:leader="none" w:pos="216"/>
        </w:tabs>
        <w:ind w:left="720" w:firstLine="0"/>
        <w:jc w:val="left"/>
        <w:rPr/>
      </w:pPr>
      <w:r w:rsidDel="00000000" w:rsidR="00000000" w:rsidRPr="00000000">
        <w:rPr>
          <w:rtl w:val="0"/>
        </w:rPr>
      </w:r>
    </w:p>
    <w:p w:rsidR="00000000" w:rsidDel="00000000" w:rsidP="00000000" w:rsidRDefault="00000000" w:rsidRPr="00000000" w14:paraId="00000026">
      <w:pPr>
        <w:tabs>
          <w:tab w:val="left" w:leader="none" w:pos="216"/>
        </w:tabs>
        <w:ind w:left="720" w:firstLine="0"/>
        <w:jc w:val="left"/>
        <w:rPr/>
      </w:pPr>
      <w:r w:rsidDel="00000000" w:rsidR="00000000" w:rsidRPr="00000000">
        <w:rPr>
          <w:rtl w:val="0"/>
        </w:rPr>
      </w:r>
    </w:p>
    <w:p w:rsidR="00000000" w:rsidDel="00000000" w:rsidP="00000000" w:rsidRDefault="00000000" w:rsidRPr="00000000" w14:paraId="00000027">
      <w:pPr>
        <w:pStyle w:val="Heading2"/>
        <w:numPr>
          <w:ilvl w:val="1"/>
          <w:numId w:val="2"/>
        </w:numPr>
        <w:tabs>
          <w:tab w:val="left" w:leader="none" w:pos="288"/>
        </w:tabs>
        <w:ind w:left="288" w:hanging="288"/>
        <w:rPr/>
      </w:pPr>
      <w:r w:rsidDel="00000000" w:rsidR="00000000" w:rsidRPr="00000000">
        <w:rPr>
          <w:rtl w:val="0"/>
        </w:rPr>
        <w:t xml:space="preserve">Selecting a Template (Heading 2)</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First, confirm that you have the correct template for your paper size. This template has been tailored for output on the A4 paper size. If you are using US letter-sized paper, please close this file and download the Microsoft Word, Letter file.</w:t>
      </w:r>
    </w:p>
    <w:p w:rsidR="00000000" w:rsidDel="00000000" w:rsidP="00000000" w:rsidRDefault="00000000" w:rsidRPr="00000000" w14:paraId="00000029">
      <w:pPr>
        <w:pStyle w:val="Heading2"/>
        <w:numPr>
          <w:ilvl w:val="1"/>
          <w:numId w:val="2"/>
        </w:numPr>
        <w:tabs>
          <w:tab w:val="left" w:leader="none" w:pos="288"/>
        </w:tabs>
        <w:ind w:left="288" w:hanging="288"/>
        <w:rPr/>
      </w:pPr>
      <w:r w:rsidDel="00000000" w:rsidR="00000000" w:rsidRPr="00000000">
        <w:rPr>
          <w:rtl w:val="0"/>
        </w:rPr>
        <w:t xml:space="preserve">Maintaining the Integrity of the Specifications</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rsidR="00000000" w:rsidDel="00000000" w:rsidP="00000000" w:rsidRDefault="00000000" w:rsidRPr="00000000" w14:paraId="0000002B">
      <w:pPr>
        <w:pStyle w:val="Heading1"/>
        <w:numPr>
          <w:ilvl w:val="0"/>
          <w:numId w:val="2"/>
        </w:numPr>
        <w:tabs>
          <w:tab w:val="left" w:leader="none" w:pos="216"/>
        </w:tabs>
        <w:ind w:left="0" w:firstLine="216"/>
        <w:rPr/>
      </w:pPr>
      <w:r w:rsidDel="00000000" w:rsidR="00000000" w:rsidRPr="00000000">
        <w:rPr>
          <w:rtl w:val="0"/>
        </w:rPr>
        <w:t xml:space="preserve">Prepare Your Paper Before Styling</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Before you begin to format your paper, first write and save the content as a separate text file. Complete all content and organizational editing before formatting. Please note sections A-D below for more information on proofreading, spelling and grammar.</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rsidR="00000000" w:rsidDel="00000000" w:rsidP="00000000" w:rsidRDefault="00000000" w:rsidRPr="00000000" w14:paraId="0000002E">
      <w:pPr>
        <w:pStyle w:val="Heading2"/>
        <w:numPr>
          <w:ilvl w:val="1"/>
          <w:numId w:val="2"/>
        </w:numPr>
        <w:tabs>
          <w:tab w:val="left" w:leader="none" w:pos="288"/>
        </w:tabs>
        <w:ind w:left="288" w:hanging="288"/>
        <w:rPr/>
      </w:pPr>
      <w:r w:rsidDel="00000000" w:rsidR="00000000" w:rsidRPr="00000000">
        <w:rPr>
          <w:rtl w:val="0"/>
        </w:rPr>
        <w:t xml:space="preserve">Abbreviations and Acronyms</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rsidR="00000000" w:rsidDel="00000000" w:rsidP="00000000" w:rsidRDefault="00000000" w:rsidRPr="00000000" w14:paraId="00000030">
      <w:pPr>
        <w:pStyle w:val="Heading2"/>
        <w:numPr>
          <w:ilvl w:val="1"/>
          <w:numId w:val="2"/>
        </w:numPr>
        <w:tabs>
          <w:tab w:val="left" w:leader="none" w:pos="288"/>
        </w:tabs>
        <w:ind w:left="288" w:hanging="288"/>
        <w:rPr/>
      </w:pPr>
      <w:r w:rsidDel="00000000" w:rsidR="00000000" w:rsidRPr="00000000">
        <w:rPr>
          <w:rtl w:val="0"/>
        </w:rPr>
        <w:t xml:space="preserve">Units</w:t>
      </w:r>
    </w:p>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648"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Use either SI (MKS) or CGS as primary units. (SI units are encouraged.) English units may be used as secondary units (in parentheses). An exception would be the use of English units as identifiers in trade, such as “3.5-inch disk drive”.</w:t>
      </w:r>
    </w:p>
    <w:p w:rsidR="00000000" w:rsidDel="00000000" w:rsidP="00000000" w:rsidRDefault="00000000" w:rsidRPr="00000000" w14:paraId="000000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648"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Avoid combining SI and CGS units, such as current in amperes and magnetic field in oersteds. This often leads to confusion because equations do not balance dimensionally. If you must use mixed units, clearly state the units for each quantity that you use in an equation.</w:t>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648"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Do not mix complete spellings and abbreviations of units: “Wb/m2” or “webers per square meter”, not “webers/m2”.  Spell out units when they appear in text: “. . . a few henries”, not “. . . a few H”.</w:t>
      </w:r>
    </w:p>
    <w:p w:rsidR="00000000" w:rsidDel="00000000" w:rsidP="00000000" w:rsidRDefault="00000000" w:rsidRPr="00000000" w14:paraId="00000034">
      <w:pPr>
        <w:keepNext w:val="0"/>
        <w:keepLines w:val="0"/>
        <w:pageBreakBefore w:val="0"/>
        <w:widowControl w:val="1"/>
        <w:pBdr>
          <w:top w:color="000000" w:space="2" w:sz="4" w:val="single"/>
          <w:left w:space="0" w:sz="0" w:val="nil"/>
          <w:bottom w:space="0" w:sz="0" w:val="nil"/>
          <w:right w:space="0" w:sz="0" w:val="nil"/>
          <w:between w:space="0" w:sz="0" w:val="nil"/>
        </w:pBdr>
        <w:shd w:fill="auto" w:val="clear"/>
        <w:spacing w:after="0" w:before="0" w:line="240" w:lineRule="auto"/>
        <w:ind w:left="0" w:right="0" w:firstLine="289"/>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Identify applicable funding agency here. If none, delete this text box.</w:t>
      </w:r>
    </w:p>
    <w:p w:rsidR="00000000" w:rsidDel="00000000" w:rsidP="00000000" w:rsidRDefault="00000000" w:rsidRPr="00000000" w14:paraId="0000003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648"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Use a zero before decimal points: “0.25”, not “.25”. Use “cm3”, not “cc”. (</w:t>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bullet list</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36">
      <w:pPr>
        <w:pStyle w:val="Heading2"/>
        <w:numPr>
          <w:ilvl w:val="1"/>
          <w:numId w:val="2"/>
        </w:numPr>
        <w:tabs>
          <w:tab w:val="left" w:leader="none" w:pos="288"/>
        </w:tabs>
        <w:ind w:left="288" w:hanging="288"/>
        <w:rPr/>
      </w:pPr>
      <w:r w:rsidDel="00000000" w:rsidR="00000000" w:rsidRPr="00000000">
        <w:rPr>
          <w:rtl w:val="0"/>
        </w:rPr>
        <w:t xml:space="preserve">Equations</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2520"/>
          <w:tab w:val="right" w:leader="none" w:pos="5040"/>
        </w:tabs>
        <w:spacing w:after="240" w:before="240" w:line="216" w:lineRule="auto"/>
        <w:ind w:left="0" w:right="0" w:firstLine="0"/>
        <w:jc w:val="center"/>
        <w:rPr>
          <w:rFonts w:ascii="Noto Sans Symbols" w:cs="Noto Sans Symbols" w:eastAsia="Noto Sans Symbols" w:hAnsi="Noto Sans Symbols"/>
          <w:b w:val="0"/>
          <w:i w:val="0"/>
          <w:smallCaps w:val="0"/>
          <w:strike w:val="0"/>
          <w:color w:val="000000"/>
          <w:sz w:val="20"/>
          <w:szCs w:val="20"/>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0"/>
          <w:szCs w:val="20"/>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a</w:t>
      </w:r>
      <w:r w:rsidDel="00000000" w:rsidR="00000000" w:rsidRPr="00000000">
        <w:rPr>
          <w:rFonts w:ascii="Noto Sans Symbols" w:cs="Noto Sans Symbols" w:eastAsia="Noto Sans Symbols" w:hAnsi="Noto Sans Symbols"/>
          <w:b w:val="0"/>
          <w:i w:val="0"/>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b</w:t>
      </w:r>
      <w:r w:rsidDel="00000000" w:rsidR="00000000" w:rsidRPr="00000000">
        <w:rPr>
          <w:rFonts w:ascii="Noto Sans Symbols" w:cs="Noto Sans Symbols" w:eastAsia="Noto Sans Symbols" w:hAnsi="Noto Sans Symbols"/>
          <w:b w:val="0"/>
          <w:i w:val="0"/>
          <w:smallCaps w:val="0"/>
          <w:strike w:val="0"/>
          <w:color w:val="000000"/>
          <w:sz w:val="20"/>
          <w:szCs w:val="20"/>
          <w:u w:val="none"/>
          <w:shd w:fill="auto" w:val="clear"/>
          <w:vertAlign w:val="baseline"/>
          <w:rtl w:val="0"/>
        </w:rPr>
        <w:t xml:space="preserve"></w:t>
        <w:tab/>
        <w:t xml:space="preserve"></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Note that the equation is centered using a center tab stop. Be sure that the symbols in your equation have been defined before or immediately following the equation. Use “(1)”, not “Eq. (1)” or “equation (1)”, except at the beginning of a sentence: “Equation (1) is . . .”</w:t>
      </w:r>
    </w:p>
    <w:p w:rsidR="00000000" w:rsidDel="00000000" w:rsidP="00000000" w:rsidRDefault="00000000" w:rsidRPr="00000000" w14:paraId="0000003B">
      <w:pPr>
        <w:pStyle w:val="Heading2"/>
        <w:numPr>
          <w:ilvl w:val="1"/>
          <w:numId w:val="2"/>
        </w:numPr>
        <w:tabs>
          <w:tab w:val="left" w:leader="none" w:pos="288"/>
        </w:tabs>
        <w:ind w:left="288" w:hanging="288"/>
        <w:rPr/>
      </w:pPr>
      <w:r w:rsidDel="00000000" w:rsidR="00000000" w:rsidRPr="00000000">
        <w:rPr>
          <w:rtl w:val="0"/>
        </w:rPr>
        <w:t xml:space="preserve">Some Common Mistakes</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648"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word “data” is plural, not singular.</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648"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subscript for the permeability of vacuum </w:t>
      </w:r>
      <w:r w:rsidDel="00000000" w:rsidR="00000000" w:rsidRPr="00000000">
        <w:rPr>
          <w:rFonts w:ascii="Noto Sans Symbols" w:cs="Noto Sans Symbols" w:eastAsia="Noto Sans Symbols" w:hAnsi="Noto Sans Symbols"/>
          <w:b w:val="0"/>
          <w:i w:val="1"/>
          <w:smallCaps w:val="0"/>
          <w:strike w:val="0"/>
          <w:color w:val="000000"/>
          <w:sz w:val="20"/>
          <w:szCs w:val="20"/>
          <w:u w:val="none"/>
          <w:shd w:fill="auto" w:val="clear"/>
          <w:vertAlign w:val="baseline"/>
          <w:rtl w:val="0"/>
        </w:rPr>
        <w:t xml:space="preserve">μ</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subscript"/>
          <w:rtl w:val="0"/>
        </w:rPr>
        <w:t xml:space="preserve">0</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and other common scientific constants, is zero with subscript formatting, not a lowercase letter “o”.</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648"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648"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 graph within a graph is an “inset”, not an “insert”. The word alternatively is preferred to the word “alternately” (unless you really mean something that alternates).</w:t>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648"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Do not use the word “essentially” to mean “approximately” or “effectively”.</w:t>
      </w:r>
    </w:p>
    <w:p w:rsidR="00000000" w:rsidDel="00000000" w:rsidP="00000000" w:rsidRDefault="00000000" w:rsidRPr="00000000" w14:paraId="000000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648"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In your paper title, if the words “that uses” can accurately replace the word “using”, capitalize the “u”; if not, keep using lower-cased.</w:t>
      </w:r>
    </w:p>
    <w:p w:rsidR="00000000" w:rsidDel="00000000" w:rsidP="00000000" w:rsidRDefault="00000000" w:rsidRPr="00000000" w14:paraId="0000004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648"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Be aware of the different meanings of the homophones “affect” and “effect”, “complement” and “compliment”, “discreet” and “discrete”, “principal” and “principle”.</w:t>
      </w:r>
    </w:p>
    <w:p w:rsidR="00000000" w:rsidDel="00000000" w:rsidP="00000000" w:rsidRDefault="00000000" w:rsidRPr="00000000" w14:paraId="0000004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648"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Do not confuse “imply” and “infer”.</w:t>
      </w:r>
    </w:p>
    <w:p w:rsidR="00000000" w:rsidDel="00000000" w:rsidP="00000000" w:rsidRDefault="00000000" w:rsidRPr="00000000" w14:paraId="0000004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648"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prefix “non” is not a word; it should be joined to the word it modifies, usually without a hyphen.</w:t>
      </w:r>
    </w:p>
    <w:p w:rsidR="00000000" w:rsidDel="00000000" w:rsidP="00000000" w:rsidRDefault="00000000" w:rsidRPr="00000000" w14:paraId="000000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648"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There is no period after the “et” in the Latin abbreviation “et al.”.</w:t>
      </w:r>
    </w:p>
    <w:p w:rsidR="00000000" w:rsidDel="00000000" w:rsidP="00000000" w:rsidRDefault="00000000" w:rsidRPr="00000000" w14:paraId="0000004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648" w:right="0" w:hanging="360"/>
        <w:jc w:val="both"/>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abbreviation “i.e.” means “that is”, and the abbreviation “e.g.” means “for example”.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An excellent style manual for science writers is [7].</w:t>
      </w:r>
    </w:p>
    <w:p w:rsidR="00000000" w:rsidDel="00000000" w:rsidP="00000000" w:rsidRDefault="00000000" w:rsidRPr="00000000" w14:paraId="00000048">
      <w:pPr>
        <w:pStyle w:val="Heading1"/>
        <w:numPr>
          <w:ilvl w:val="0"/>
          <w:numId w:val="2"/>
        </w:numPr>
        <w:tabs>
          <w:tab w:val="left" w:leader="none" w:pos="216"/>
        </w:tabs>
        <w:ind w:left="0" w:firstLine="216"/>
        <w:rPr/>
      </w:pPr>
      <w:r w:rsidDel="00000000" w:rsidR="00000000" w:rsidRPr="00000000">
        <w:rPr>
          <w:rtl w:val="0"/>
        </w:rPr>
        <w:t xml:space="preserve">Using the Template</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rsidR="00000000" w:rsidDel="00000000" w:rsidP="00000000" w:rsidRDefault="00000000" w:rsidRPr="00000000" w14:paraId="0000004A">
      <w:pPr>
        <w:pStyle w:val="Heading2"/>
        <w:numPr>
          <w:ilvl w:val="1"/>
          <w:numId w:val="2"/>
        </w:numPr>
        <w:tabs>
          <w:tab w:val="left" w:leader="none" w:pos="288"/>
        </w:tabs>
        <w:ind w:left="288" w:hanging="288"/>
        <w:rPr/>
      </w:pPr>
      <w:r w:rsidDel="00000000" w:rsidR="00000000" w:rsidRPr="00000000">
        <w:rPr>
          <w:rtl w:val="0"/>
        </w:rPr>
        <w:t xml:space="preserve">Authors and Affiliations</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The template is designed for, but not limited to, six authors.</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A minimum of one author is required for all conference articles. Author names should be listed starting from left to right and then moving down to the next line. This is the author sequence that will be used in future citations and by indexing services. Names should not be listed in columns nor group by affiliation. Please keep your affiliations as succinct as possible (for example, do not differentiate among departments of the same organization).</w:t>
      </w:r>
    </w:p>
    <w:p w:rsidR="00000000" w:rsidDel="00000000" w:rsidP="00000000" w:rsidRDefault="00000000" w:rsidRPr="00000000" w14:paraId="0000004C">
      <w:pPr>
        <w:pStyle w:val="Heading3"/>
        <w:numPr>
          <w:ilvl w:val="2"/>
          <w:numId w:val="2"/>
        </w:numPr>
        <w:ind w:left="0" w:firstLine="180"/>
        <w:rPr/>
      </w:pPr>
      <w:r w:rsidDel="00000000" w:rsidR="00000000" w:rsidRPr="00000000">
        <w:rPr>
          <w:rtl w:val="0"/>
        </w:rPr>
        <w:t xml:space="preserve">For papers with more than six authors: </w:t>
      </w:r>
      <w:r w:rsidDel="00000000" w:rsidR="00000000" w:rsidRPr="00000000">
        <w:rPr>
          <w:i w:val="0"/>
          <w:rtl w:val="0"/>
        </w:rPr>
        <w:t xml:space="preserve">Add author names horizontally, moving to a third row if needed for more than 8 authors.</w:t>
      </w:r>
      <w:r w:rsidDel="00000000" w:rsidR="00000000" w:rsidRPr="00000000">
        <w:rPr>
          <w:rtl w:val="0"/>
        </w:rPr>
      </w:r>
    </w:p>
    <w:p w:rsidR="00000000" w:rsidDel="00000000" w:rsidP="00000000" w:rsidRDefault="00000000" w:rsidRPr="00000000" w14:paraId="0000004D">
      <w:pPr>
        <w:pStyle w:val="Heading3"/>
        <w:numPr>
          <w:ilvl w:val="2"/>
          <w:numId w:val="2"/>
        </w:numPr>
        <w:ind w:left="0" w:firstLine="180"/>
        <w:rPr/>
      </w:pPr>
      <w:r w:rsidDel="00000000" w:rsidR="00000000" w:rsidRPr="00000000">
        <w:rPr>
          <w:rtl w:val="0"/>
        </w:rPr>
        <w:t xml:space="preserve">For papers with less than six authors: </w:t>
      </w:r>
      <w:r w:rsidDel="00000000" w:rsidR="00000000" w:rsidRPr="00000000">
        <w:rPr>
          <w:i w:val="0"/>
          <w:rtl w:val="0"/>
        </w:rPr>
        <w:t xml:space="preserve">To change the default, adjust the template as follows.</w:t>
      </w:r>
      <w:r w:rsidDel="00000000" w:rsidR="00000000" w:rsidRPr="00000000">
        <w:rPr>
          <w:rtl w:val="0"/>
        </w:rPr>
      </w:r>
    </w:p>
    <w:p w:rsidR="00000000" w:rsidDel="00000000" w:rsidP="00000000" w:rsidRDefault="00000000" w:rsidRPr="00000000" w14:paraId="0000004E">
      <w:pPr>
        <w:pStyle w:val="Heading4"/>
        <w:numPr>
          <w:ilvl w:val="3"/>
          <w:numId w:val="2"/>
        </w:numPr>
        <w:tabs>
          <w:tab w:val="left" w:leader="none" w:pos="720"/>
        </w:tabs>
        <w:ind w:left="0" w:firstLine="360"/>
        <w:rPr/>
      </w:pPr>
      <w:r w:rsidDel="00000000" w:rsidR="00000000" w:rsidRPr="00000000">
        <w:rPr>
          <w:rtl w:val="0"/>
        </w:rPr>
        <w:t xml:space="preserve">Selection: </w:t>
      </w:r>
      <w:r w:rsidDel="00000000" w:rsidR="00000000" w:rsidRPr="00000000">
        <w:rPr>
          <w:i w:val="0"/>
          <w:rtl w:val="0"/>
        </w:rPr>
        <w:t xml:space="preserve">Highlight all author and affiliation lines.</w:t>
      </w:r>
      <w:r w:rsidDel="00000000" w:rsidR="00000000" w:rsidRPr="00000000">
        <w:rPr>
          <w:rtl w:val="0"/>
        </w:rPr>
      </w:r>
    </w:p>
    <w:p w:rsidR="00000000" w:rsidDel="00000000" w:rsidP="00000000" w:rsidRDefault="00000000" w:rsidRPr="00000000" w14:paraId="0000004F">
      <w:pPr>
        <w:pStyle w:val="Heading4"/>
        <w:numPr>
          <w:ilvl w:val="3"/>
          <w:numId w:val="2"/>
        </w:numPr>
        <w:tabs>
          <w:tab w:val="left" w:leader="none" w:pos="720"/>
        </w:tabs>
        <w:ind w:left="0" w:firstLine="360"/>
        <w:rPr/>
      </w:pPr>
      <w:r w:rsidDel="00000000" w:rsidR="00000000" w:rsidRPr="00000000">
        <w:rPr>
          <w:rtl w:val="0"/>
        </w:rPr>
        <w:t xml:space="preserve">Change number of columns: </w:t>
      </w:r>
      <w:r w:rsidDel="00000000" w:rsidR="00000000" w:rsidRPr="00000000">
        <w:rPr>
          <w:i w:val="0"/>
          <w:rtl w:val="0"/>
        </w:rPr>
        <w:t xml:space="preserve">Select the Columns icon from the MS Word Standard toolbar and then select the correct number of columns from the selection palette.</w:t>
      </w:r>
      <w:r w:rsidDel="00000000" w:rsidR="00000000" w:rsidRPr="00000000">
        <w:rPr>
          <w:rtl w:val="0"/>
        </w:rPr>
      </w:r>
    </w:p>
    <w:p w:rsidR="00000000" w:rsidDel="00000000" w:rsidP="00000000" w:rsidRDefault="00000000" w:rsidRPr="00000000" w14:paraId="00000050">
      <w:pPr>
        <w:pStyle w:val="Heading4"/>
        <w:numPr>
          <w:ilvl w:val="3"/>
          <w:numId w:val="2"/>
        </w:numPr>
        <w:tabs>
          <w:tab w:val="left" w:leader="none" w:pos="720"/>
        </w:tabs>
        <w:ind w:left="0" w:firstLine="360"/>
        <w:rPr>
          <w:i w:val="0"/>
        </w:rPr>
      </w:pPr>
      <w:r w:rsidDel="00000000" w:rsidR="00000000" w:rsidRPr="00000000">
        <w:rPr>
          <w:rtl w:val="0"/>
        </w:rPr>
        <w:t xml:space="preserve">Deletion: </w:t>
      </w:r>
      <w:r w:rsidDel="00000000" w:rsidR="00000000" w:rsidRPr="00000000">
        <w:rPr>
          <w:i w:val="0"/>
          <w:rtl w:val="0"/>
        </w:rPr>
        <w:t xml:space="preserve">Delete the author and affiliation lines for the extra authors.</w:t>
      </w:r>
    </w:p>
    <w:p w:rsidR="00000000" w:rsidDel="00000000" w:rsidP="00000000" w:rsidRDefault="00000000" w:rsidRPr="00000000" w14:paraId="00000051">
      <w:pPr>
        <w:jc w:val="left"/>
        <w:rPr>
          <w:i w:val="1"/>
        </w:rPr>
      </w:pPr>
      <w:r w:rsidDel="00000000" w:rsidR="00000000" w:rsidRPr="00000000">
        <w:rPr>
          <w:rtl w:val="0"/>
        </w:rPr>
      </w:r>
    </w:p>
    <w:p w:rsidR="00000000" w:rsidDel="00000000" w:rsidP="00000000" w:rsidRDefault="00000000" w:rsidRPr="00000000" w14:paraId="00000052">
      <w:pPr>
        <w:pStyle w:val="Heading2"/>
        <w:numPr>
          <w:ilvl w:val="1"/>
          <w:numId w:val="2"/>
        </w:numPr>
        <w:tabs>
          <w:tab w:val="left" w:leader="none" w:pos="288"/>
        </w:tabs>
        <w:ind w:left="288" w:hanging="288"/>
        <w:rPr/>
      </w:pPr>
      <w:r w:rsidDel="00000000" w:rsidR="00000000" w:rsidRPr="00000000">
        <w:rPr>
          <w:rtl w:val="0"/>
        </w:rPr>
        <w:t xml:space="preserve">Identify the Headings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Headings, or heads, are organizational devices that guide the reader through your paper. There are two types: component heads and text heads.</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rsidR="00000000" w:rsidDel="00000000" w:rsidP="00000000" w:rsidRDefault="00000000" w:rsidRPr="00000000" w14:paraId="00000056">
      <w:pPr>
        <w:pStyle w:val="Heading2"/>
        <w:numPr>
          <w:ilvl w:val="1"/>
          <w:numId w:val="2"/>
        </w:numPr>
        <w:tabs>
          <w:tab w:val="left" w:leader="none" w:pos="288"/>
        </w:tabs>
        <w:ind w:left="288" w:hanging="288"/>
        <w:rPr/>
      </w:pPr>
      <w:r w:rsidDel="00000000" w:rsidR="00000000" w:rsidRPr="00000000">
        <w:rPr>
          <w:rtl w:val="0"/>
        </w:rPr>
        <w:t xml:space="preserve">Figures and Tables</w:t>
      </w:r>
    </w:p>
    <w:p w:rsidR="00000000" w:rsidDel="00000000" w:rsidP="00000000" w:rsidRDefault="00000000" w:rsidRPr="00000000" w14:paraId="00000057">
      <w:pPr>
        <w:pStyle w:val="Heading4"/>
        <w:numPr>
          <w:ilvl w:val="3"/>
          <w:numId w:val="2"/>
        </w:numPr>
        <w:tabs>
          <w:tab w:val="left" w:leader="none" w:pos="720"/>
        </w:tabs>
        <w:ind w:left="0" w:firstLine="360"/>
        <w:rPr/>
      </w:pPr>
      <w:r w:rsidDel="00000000" w:rsidR="00000000" w:rsidRPr="00000000">
        <w:rPr>
          <w:rtl w:val="0"/>
        </w:rPr>
        <w:t xml:space="preserve"> Positioning Figures and Tables: </w:t>
      </w:r>
      <w:r w:rsidDel="00000000" w:rsidR="00000000" w:rsidRPr="00000000">
        <w:rPr>
          <w:i w:val="0"/>
          <w:rtl w:val="0"/>
        </w:rPr>
        <w:t xml:space="preserve">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240" w:line="216" w:lineRule="auto"/>
        <w:ind w:left="0" w:right="0" w:firstLine="0"/>
        <w:jc w:val="center"/>
        <w:rPr/>
      </w:pPr>
      <w:r w:rsidDel="00000000" w:rsidR="00000000" w:rsidRPr="00000000">
        <w:rPr>
          <w:rFonts w:ascii="Times New Roman" w:cs="Times New Roman" w:eastAsia="Times New Roman" w:hAnsi="Times New Roman"/>
          <w:b w:val="0"/>
          <w:i w:val="0"/>
          <w:smallCaps w:val="1"/>
          <w:strike w:val="0"/>
          <w:color w:val="000000"/>
          <w:sz w:val="16"/>
          <w:szCs w:val="16"/>
          <w:u w:val="none"/>
          <w:shd w:fill="auto" w:val="clear"/>
          <w:vertAlign w:val="baseline"/>
          <w:rtl w:val="0"/>
        </w:rPr>
        <w:t xml:space="preserve">Table Type Styles</w:t>
      </w:r>
    </w:p>
    <w:tbl>
      <w:tblPr>
        <w:tblStyle w:val="Table1"/>
        <w:tblW w:w="48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2340"/>
        <w:gridCol w:w="900"/>
        <w:gridCol w:w="900"/>
        <w:tblGridChange w:id="0">
          <w:tblGrid>
            <w:gridCol w:w="720"/>
            <w:gridCol w:w="2340"/>
            <w:gridCol w:w="900"/>
            <w:gridCol w:w="900"/>
          </w:tblGrid>
        </w:tblGridChange>
      </w:tblGrid>
      <w:tr>
        <w:trPr>
          <w:cantSplit w:val="1"/>
          <w:trHeight w:val="240" w:hRule="atLeast"/>
          <w:tblHeader w:val="1"/>
        </w:trPr>
        <w:tc>
          <w:tcPr>
            <w:vMerge w:val="restart"/>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6"/>
                <w:szCs w:val="16"/>
                <w:u w:val="none"/>
                <w:shd w:fill="auto" w:val="clear"/>
                <w:vertAlign w:val="baseline"/>
                <w:rtl w:val="0"/>
              </w:rPr>
              <w:t xml:space="preserve">Table Head</w:t>
            </w:r>
          </w:p>
        </w:tc>
        <w:tc>
          <w:tcPr>
            <w:gridSpan w:val="3"/>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6"/>
                <w:szCs w:val="16"/>
                <w:u w:val="none"/>
                <w:shd w:fill="auto" w:val="clear"/>
                <w:vertAlign w:val="baseline"/>
                <w:rtl w:val="0"/>
              </w:rPr>
              <w:t xml:space="preserve">Table Column Head</w:t>
            </w:r>
          </w:p>
        </w:tc>
      </w:tr>
      <w:tr>
        <w:trPr>
          <w:cantSplit w:val="1"/>
          <w:trHeight w:val="240" w:hRule="atLeast"/>
          <w:tblHeader w:val="1"/>
        </w:trPr>
        <w:tc>
          <w:tcPr>
            <w:vMerge w:val="continue"/>
            <w:vAlign w:val="center"/>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i w:val="1"/>
                <w:smallCaps w:val="0"/>
                <w:strike w:val="0"/>
                <w:color w:val="000000"/>
                <w:sz w:val="15"/>
                <w:szCs w:val="15"/>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000000"/>
                <w:sz w:val="15"/>
                <w:szCs w:val="15"/>
                <w:u w:val="none"/>
                <w:shd w:fill="auto" w:val="clear"/>
                <w:vertAlign w:val="baseline"/>
                <w:rtl w:val="0"/>
              </w:rPr>
              <w:t xml:space="preserve">Table column subhead</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i w:val="1"/>
                <w:smallCaps w:val="0"/>
                <w:strike w:val="0"/>
                <w:color w:val="000000"/>
                <w:sz w:val="15"/>
                <w:szCs w:val="15"/>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000000"/>
                <w:sz w:val="15"/>
                <w:szCs w:val="15"/>
                <w:u w:val="none"/>
                <w:shd w:fill="auto" w:val="clear"/>
                <w:vertAlign w:val="baseline"/>
                <w:rtl w:val="0"/>
              </w:rPr>
              <w:t xml:space="preserve">Subhead</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i w:val="1"/>
                <w:smallCaps w:val="0"/>
                <w:strike w:val="0"/>
                <w:color w:val="000000"/>
                <w:sz w:val="15"/>
                <w:szCs w:val="15"/>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000000"/>
                <w:sz w:val="15"/>
                <w:szCs w:val="15"/>
                <w:u w:val="none"/>
                <w:shd w:fill="auto" w:val="clear"/>
                <w:vertAlign w:val="baseline"/>
                <w:rtl w:val="0"/>
              </w:rPr>
              <w:t xml:space="preserve">Subhead</w:t>
            </w:r>
          </w:p>
        </w:tc>
      </w:tr>
      <w:tr>
        <w:trPr>
          <w:cantSplit w:val="0"/>
          <w:trHeight w:val="320" w:hRule="atLeast"/>
          <w:tblHeader w:val="0"/>
        </w:trPr>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8"/>
                <w:szCs w:val="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copy</w:t>
            </w:r>
            <w:r w:rsidDel="00000000" w:rsidR="00000000" w:rsidRPr="00000000">
              <w:rPr>
                <w:rtl w:val="0"/>
              </w:rPr>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More table copy</w:t>
            </w: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superscript"/>
                <w:rtl w:val="0"/>
              </w:rPr>
              <w:t xml:space="preserve">a</w:t>
            </w:r>
            <w:r w:rsidDel="00000000" w:rsidR="00000000" w:rsidRPr="00000000">
              <w:rPr>
                <w:rtl w:val="0"/>
              </w:rPr>
            </w:r>
          </w:p>
        </w:tc>
        <w:tc>
          <w:tcPr>
            <w:vAlign w:val="center"/>
          </w:tcPr>
          <w:p w:rsidR="00000000" w:rsidDel="00000000" w:rsidP="00000000" w:rsidRDefault="00000000" w:rsidRPr="00000000" w14:paraId="00000063">
            <w:pPr>
              <w:rPr>
                <w:sz w:val="16"/>
                <w:szCs w:val="16"/>
              </w:rPr>
            </w:pPr>
            <w:r w:rsidDel="00000000" w:rsidR="00000000" w:rsidRPr="00000000">
              <w:rPr>
                <w:rtl w:val="0"/>
              </w:rPr>
            </w:r>
          </w:p>
        </w:tc>
        <w:tc>
          <w:tcPr>
            <w:vAlign w:val="center"/>
          </w:tcPr>
          <w:p w:rsidR="00000000" w:rsidDel="00000000" w:rsidP="00000000" w:rsidRDefault="00000000" w:rsidRPr="00000000" w14:paraId="00000064">
            <w:pPr>
              <w:rPr>
                <w:sz w:val="16"/>
                <w:szCs w:val="16"/>
              </w:rPr>
            </w:pPr>
            <w:r w:rsidDel="00000000" w:rsidR="00000000" w:rsidRPr="00000000">
              <w:rPr>
                <w:rtl w:val="0"/>
              </w:rPr>
            </w:r>
          </w:p>
        </w:tc>
      </w:tr>
    </w:tbl>
    <w:p w:rsidR="00000000" w:rsidDel="00000000" w:rsidP="00000000" w:rsidRDefault="00000000" w:rsidRPr="00000000" w14:paraId="0000006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0" w:before="60" w:line="240" w:lineRule="auto"/>
        <w:ind w:left="418" w:right="0" w:hanging="360"/>
        <w:jc w:val="right"/>
        <w:rPr/>
      </w:pP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Sample of a Table footnote. (</w:t>
      </w:r>
      <w:r w:rsidDel="00000000" w:rsidR="00000000" w:rsidRPr="00000000">
        <w:rPr>
          <w:rFonts w:ascii="Times New Roman" w:cs="Times New Roman" w:eastAsia="Times New Roman" w:hAnsi="Times New Roman"/>
          <w:b w:val="0"/>
          <w:i w:val="1"/>
          <w:smallCaps w:val="0"/>
          <w:strike w:val="0"/>
          <w:color w:val="000000"/>
          <w:sz w:val="12"/>
          <w:szCs w:val="12"/>
          <w:u w:val="none"/>
          <w:shd w:fill="auto" w:val="clear"/>
          <w:vertAlign w:val="baseline"/>
          <w:rtl w:val="0"/>
        </w:rPr>
        <w:t xml:space="preserve">Table footnote</w:t>
      </w:r>
      <w:r w:rsidDel="00000000" w:rsidR="00000000" w:rsidRPr="00000000">
        <w:rPr>
          <w:rFonts w:ascii="Times New Roman" w:cs="Times New Roman" w:eastAsia="Times New Roman" w:hAnsi="Times New Roman"/>
          <w:b w:val="0"/>
          <w:i w:val="0"/>
          <w:smallCaps w:val="0"/>
          <w:strike w:val="0"/>
          <w:color w:val="000000"/>
          <w:sz w:val="12"/>
          <w:szCs w:val="12"/>
          <w:u w:val="none"/>
          <w:shd w:fill="auto" w:val="clear"/>
          <w:vertAlign w:val="baseline"/>
          <w:rtl w:val="0"/>
        </w:rPr>
        <w:t xml:space="preserve">)</w:t>
      </w:r>
    </w:p>
    <w:p w:rsidR="00000000" w:rsidDel="00000000" w:rsidP="00000000" w:rsidRDefault="00000000" w:rsidRPr="00000000" w14:paraId="0000006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533"/>
        </w:tabs>
        <w:spacing w:after="200" w:before="80" w:line="240" w:lineRule="auto"/>
        <w:ind w:left="360" w:right="0" w:hanging="360"/>
        <w:jc w:val="both"/>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Example of a figure caption. (</w:t>
      </w:r>
      <w:r w:rsidDel="00000000" w:rsidR="00000000" w:rsidRPr="00000000">
        <w:rPr>
          <w:rFonts w:ascii="Times New Roman" w:cs="Times New Roman" w:eastAsia="Times New Roman" w:hAnsi="Times New Roman"/>
          <w:b w:val="0"/>
          <w:i w:val="1"/>
          <w:smallCaps w:val="0"/>
          <w:strike w:val="0"/>
          <w:color w:val="000000"/>
          <w:sz w:val="16"/>
          <w:szCs w:val="16"/>
          <w:u w:val="none"/>
          <w:shd w:fill="auto" w:val="clear"/>
          <w:vertAlign w:val="baseline"/>
          <w:rtl w:val="0"/>
        </w:rPr>
        <w:t xml:space="preserve">figure caption</w:t>
      </w: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 with a ratio of quantities and units. For example, write “Temperature (K)”, not “Temperature/K”.</w:t>
      </w:r>
    </w:p>
    <w:p w:rsidR="00000000" w:rsidDel="00000000" w:rsidP="00000000" w:rsidRDefault="00000000" w:rsidRPr="00000000" w14:paraId="00000068">
      <w:pPr>
        <w:pStyle w:val="Heading5"/>
        <w:tabs>
          <w:tab w:val="left" w:leader="none" w:pos="360"/>
        </w:tabs>
        <w:rPr/>
      </w:pPr>
      <w:r w:rsidDel="00000000" w:rsidR="00000000" w:rsidRPr="00000000">
        <w:rPr>
          <w:rtl w:val="0"/>
        </w:rPr>
        <w:t xml:space="preserve">Acknowledgment </w:t>
      </w:r>
      <w:r w:rsidDel="00000000" w:rsidR="00000000" w:rsidRPr="00000000">
        <w:rPr>
          <w:i w:val="1"/>
          <w:rtl w:val="0"/>
        </w:rPr>
        <w:t xml:space="preserve">(</w:t>
      </w:r>
      <w:r w:rsidDel="00000000" w:rsidR="00000000" w:rsidRPr="00000000">
        <w:rPr>
          <w:i w:val="1"/>
          <w:smallCaps w:val="0"/>
          <w:rtl w:val="0"/>
        </w:rPr>
        <w:t xml:space="preserve">Heading 5</w:t>
      </w:r>
      <w:r w:rsidDel="00000000" w:rsidR="00000000" w:rsidRPr="00000000">
        <w:rPr>
          <w:i w:val="1"/>
          <w:rtl w:val="0"/>
        </w:rPr>
        <w:t xml:space="preserve">)</w:t>
      </w: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preferred spelling of the word “acknowledgment” in America is without an “e” after the “g”. Avoid the stilted expression “one of us (R. B. G.) thanks ...”.  Instead, try “R. B. G. thanks...”. Put sponsor acknowledgments in the unnumbered footnote on the first page.</w:t>
      </w:r>
    </w:p>
    <w:p w:rsidR="00000000" w:rsidDel="00000000" w:rsidP="00000000" w:rsidRDefault="00000000" w:rsidRPr="00000000" w14:paraId="0000006A">
      <w:pPr>
        <w:pStyle w:val="Heading5"/>
        <w:tabs>
          <w:tab w:val="left" w:leader="none" w:pos="360"/>
        </w:tabs>
        <w:rPr/>
      </w:pPr>
      <w:r w:rsidDel="00000000" w:rsidR="00000000" w:rsidRPr="00000000">
        <w:rPr>
          <w:rtl w:val="0"/>
        </w:rPr>
        <w:t xml:space="preserve">References</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The template will number citations consecutively within brackets [1]. The sentence punctuation follows the bracket [2]. Refer simply to the reference number, as in [3]—do not use “Ref. [3]” or “reference [3]” except at the beginning of a sentence: “Reference [3] was the first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Number footnotes separately in superscripts. Place the actual footnote at the bottom of the column in which it was cited. Do not put footnotes in the abstract or reference list. Use letters for table footnotes.</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Unless there are six authors or more give all authors’ 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28" w:lineRule="auto"/>
        <w:ind w:left="0" w:right="0" w:firstLine="288"/>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For papers published in translation journals, please give the English citation first, followed by the original foreign-language citation [6].</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McKinsey &amp; Company (2013) </w:t>
      </w:r>
      <w:r w:rsidDel="00000000" w:rsidR="00000000" w:rsidRPr="00000000">
        <w:rPr>
          <w:i w:val="1"/>
          <w:sz w:val="16"/>
          <w:szCs w:val="16"/>
          <w:rtl w:val="0"/>
        </w:rPr>
        <w:t xml:space="preserve">Big Data, Analytics And The Future Of Marketing And Sales</w:t>
      </w:r>
      <w:r w:rsidDel="00000000" w:rsidR="00000000" w:rsidRPr="00000000">
        <w:rPr>
          <w:sz w:val="16"/>
          <w:szCs w:val="16"/>
          <w:rtl w:val="0"/>
        </w:rPr>
        <w:t xml:space="preserve">, </w:t>
      </w:r>
      <w:r w:rsidDel="00000000" w:rsidR="00000000" w:rsidRPr="00000000">
        <w:rPr>
          <w:i w:val="1"/>
          <w:sz w:val="16"/>
          <w:szCs w:val="16"/>
          <w:rtl w:val="0"/>
        </w:rPr>
        <w:t xml:space="preserve">Forbes</w:t>
      </w:r>
      <w:r w:rsidDel="00000000" w:rsidR="00000000" w:rsidRPr="00000000">
        <w:rPr>
          <w:sz w:val="16"/>
          <w:szCs w:val="16"/>
          <w:rtl w:val="0"/>
        </w:rPr>
        <w:t xml:space="preserve">. Available at: </w:t>
      </w:r>
      <w:hyperlink r:id="rId9">
        <w:r w:rsidDel="00000000" w:rsidR="00000000" w:rsidRPr="00000000">
          <w:rPr>
            <w:color w:val="1155cc"/>
            <w:sz w:val="16"/>
            <w:szCs w:val="16"/>
            <w:u w:val="single"/>
            <w:rtl w:val="0"/>
          </w:rPr>
          <w:t xml:space="preserve">https://www.forbes.com/sites/mckinsey/2013/07/22/big-data-analytics-and-the-future-of-marketing-sales/</w:t>
        </w:r>
      </w:hyperlink>
      <w:r w:rsidDel="00000000" w:rsidR="00000000" w:rsidRPr="00000000">
        <w:rPr>
          <w:sz w:val="16"/>
          <w:szCs w:val="16"/>
          <w:rtl w:val="0"/>
        </w:rPr>
        <w:t xml:space="preserve"> (Accessed: October 6, 2025).</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Sylvestre, C.E. (2024) </w:t>
      </w:r>
      <w:r w:rsidDel="00000000" w:rsidR="00000000" w:rsidRPr="00000000">
        <w:rPr>
          <w:i w:val="1"/>
          <w:sz w:val="16"/>
          <w:szCs w:val="16"/>
          <w:rtl w:val="0"/>
        </w:rPr>
        <w:t xml:space="preserve">(PDF) The Role of Data-Driven Decision Making in Business Strategy</w:t>
      </w:r>
      <w:r w:rsidDel="00000000" w:rsidR="00000000" w:rsidRPr="00000000">
        <w:rPr>
          <w:sz w:val="16"/>
          <w:szCs w:val="16"/>
          <w:rtl w:val="0"/>
        </w:rPr>
        <w:t xml:space="preserve">, </w:t>
      </w:r>
      <w:r w:rsidDel="00000000" w:rsidR="00000000" w:rsidRPr="00000000">
        <w:rPr>
          <w:i w:val="1"/>
          <w:sz w:val="16"/>
          <w:szCs w:val="16"/>
          <w:rtl w:val="0"/>
        </w:rPr>
        <w:t xml:space="preserve">ResearchGate</w:t>
      </w:r>
      <w:r w:rsidDel="00000000" w:rsidR="00000000" w:rsidRPr="00000000">
        <w:rPr>
          <w:sz w:val="16"/>
          <w:szCs w:val="16"/>
          <w:rtl w:val="0"/>
        </w:rPr>
        <w:t xml:space="preserve">. Available at: </w:t>
      </w:r>
      <w:hyperlink r:id="rId10">
        <w:r w:rsidDel="00000000" w:rsidR="00000000" w:rsidRPr="00000000">
          <w:rPr>
            <w:color w:val="1155cc"/>
            <w:sz w:val="16"/>
            <w:szCs w:val="16"/>
            <w:u w:val="single"/>
            <w:rtl w:val="0"/>
          </w:rPr>
          <w:t xml:space="preserve">https://www.researchgate.net/publication/383552085_The_Role_of_Data-Driven_Decision_Making_in_Business_Strategy</w:t>
        </w:r>
      </w:hyperlink>
      <w:r w:rsidDel="00000000" w:rsidR="00000000" w:rsidRPr="00000000">
        <w:rPr>
          <w:sz w:val="16"/>
          <w:szCs w:val="16"/>
          <w:rtl w:val="0"/>
        </w:rPr>
        <w:t xml:space="preserve"> (Accessed: October 6, 2025).</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IBM (2024) </w:t>
      </w:r>
      <w:r w:rsidDel="00000000" w:rsidR="00000000" w:rsidRPr="00000000">
        <w:rPr>
          <w:i w:val="1"/>
          <w:sz w:val="16"/>
          <w:szCs w:val="16"/>
          <w:rtl w:val="0"/>
        </w:rPr>
        <w:t xml:space="preserve">What is Big Data? | IBM</w:t>
      </w:r>
      <w:r w:rsidDel="00000000" w:rsidR="00000000" w:rsidRPr="00000000">
        <w:rPr>
          <w:sz w:val="16"/>
          <w:szCs w:val="16"/>
          <w:rtl w:val="0"/>
        </w:rPr>
        <w:t xml:space="preserve">. Available at: </w:t>
      </w:r>
      <w:hyperlink r:id="rId11">
        <w:r w:rsidDel="00000000" w:rsidR="00000000" w:rsidRPr="00000000">
          <w:rPr>
            <w:color w:val="1155cc"/>
            <w:sz w:val="16"/>
            <w:szCs w:val="16"/>
            <w:u w:val="single"/>
            <w:rtl w:val="0"/>
          </w:rPr>
          <w:t xml:space="preserve">https://www.ibm.com/think/topics/big-data</w:t>
        </w:r>
      </w:hyperlink>
      <w:r w:rsidDel="00000000" w:rsidR="00000000" w:rsidRPr="00000000">
        <w:rPr>
          <w:sz w:val="16"/>
          <w:szCs w:val="16"/>
          <w:rtl w:val="0"/>
        </w:rPr>
        <w:t xml:space="preserve"> (Accessed: October 6, 2025).</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sz w:val="16"/>
          <w:szCs w:val="16"/>
          <w:rtl w:val="0"/>
        </w:rPr>
        <w:t xml:space="preserve">Wan, Y. (2023) “Investigating the Impact and Effectiveness of Digital Marketing on Brand Awareness, Sales and Customer Engagement,” </w:t>
      </w:r>
      <w:r w:rsidDel="00000000" w:rsidR="00000000" w:rsidRPr="00000000">
        <w:rPr>
          <w:i w:val="1"/>
          <w:sz w:val="16"/>
          <w:szCs w:val="16"/>
          <w:rtl w:val="0"/>
        </w:rPr>
        <w:t xml:space="preserve">ResearchGate</w:t>
      </w:r>
      <w:r w:rsidDel="00000000" w:rsidR="00000000" w:rsidRPr="00000000">
        <w:rPr>
          <w:sz w:val="16"/>
          <w:szCs w:val="16"/>
          <w:rtl w:val="0"/>
        </w:rPr>
        <w:t xml:space="preserve"> [Preprint]. Available at: </w:t>
      </w:r>
      <w:hyperlink r:id="rId12">
        <w:r w:rsidDel="00000000" w:rsidR="00000000" w:rsidRPr="00000000">
          <w:rPr>
            <w:color w:val="1155cc"/>
            <w:sz w:val="16"/>
            <w:szCs w:val="16"/>
            <w:u w:val="single"/>
            <w:rtl w:val="0"/>
          </w:rPr>
          <w:t xml:space="preserve">https://www.researchgate.net/publication/376131896_Investigating_the_Impact_and_Effectiveness_of_Digital_Marketing_on_Brand_Awareness_Sales_and_Customer_Engagement</w:t>
        </w:r>
      </w:hyperlink>
      <w:r w:rsidDel="00000000" w:rsidR="00000000" w:rsidRPr="00000000">
        <w:rPr>
          <w:sz w:val="16"/>
          <w:szCs w:val="16"/>
          <w:rtl w:val="0"/>
        </w:rPr>
        <w:t xml:space="preserve">(Accessed: October 6, 2025).</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firstLine="0"/>
        <w:jc w:val="both"/>
        <w:rPr>
          <w:sz w:val="16"/>
          <w:szCs w:val="16"/>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180" w:lineRule="auto"/>
        <w:ind w:left="360" w:right="0" w:hanging="360"/>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240" w:lineRule="auto"/>
        <w:ind w:left="360" w:right="0" w:hanging="360"/>
        <w:jc w:val="cente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-4761</wp:posOffset>
                </wp:positionH>
                <wp:positionV relativeFrom="paragraph">
                  <wp:posOffset>246698</wp:posOffset>
                </wp:positionV>
                <wp:extent cx="3209925" cy="1152525"/>
                <wp:effectExtent b="0" l="0" r="0" t="0"/>
                <wp:wrapSquare wrapText="bothSides" distB="0" distT="0" distL="114300" distR="114300"/>
                <wp:docPr id="2" name=""/>
                <a:graphic>
                  <a:graphicData uri="http://schemas.microsoft.com/office/word/2010/wordprocessingShape">
                    <wps:wsp>
                      <wps:cNvSpPr/>
                      <wps:cNvPr id="2" name="Shape 2"/>
                      <wps:spPr>
                        <a:xfrm>
                          <a:off x="3745800" y="3208500"/>
                          <a:ext cx="3200400" cy="11430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120" w:before="0" w:line="227.99999713897705"/>
                              <w:ind w:left="0" w:right="0" w:firstLine="287.99999237060547"/>
                              <w:jc w:val="both"/>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We suggest that you use a text box to insert a graphic (which is ideally a 300 dpi TIFF or EPS file, with all fonts embedded) because, in an MSW document, this method is somewhat more stable than directly inserting a picture.</w:t>
                            </w:r>
                          </w:p>
                          <w:p w:rsidR="00000000" w:rsidDel="00000000" w:rsidP="00000000" w:rsidRDefault="00000000" w:rsidRPr="00000000">
                            <w:pPr>
                              <w:spacing w:after="120" w:before="0" w:line="227.99999713897705"/>
                              <w:ind w:left="0" w:right="0" w:firstLine="287.99999237060547"/>
                              <w:jc w:val="both"/>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To have non-visible rules on your frame, use the MSWord “Format” pull-down menu, select Text Box &gt; Colors and Lines to choose No Fill and No Line.</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-4761</wp:posOffset>
                </wp:positionH>
                <wp:positionV relativeFrom="paragraph">
                  <wp:posOffset>246698</wp:posOffset>
                </wp:positionV>
                <wp:extent cx="3209925" cy="1152525"/>
                <wp:effectExtent b="0" l="0" r="0" t="0"/>
                <wp:wrapSquare wrapText="bothSides" distB="0" distT="0" distL="114300" distR="114300"/>
                <wp:docPr id="2" name="image2.png"/>
                <a:graphic>
                  <a:graphicData uri="http://schemas.openxmlformats.org/drawingml/2006/picture">
                    <pic:pic>
                      <pic:nvPicPr>
                        <pic:cNvPr id="0" name="image2.png"/>
                        <pic:cNvPicPr preferRelativeResize="0"/>
                      </pic:nvPicPr>
                      <pic:blipFill>
                        <a:blip r:embed="rId13"/>
                        <a:srcRect/>
                        <a:stretch>
                          <a:fillRect/>
                        </a:stretch>
                      </pic:blipFill>
                      <pic:spPr>
                        <a:xfrm>
                          <a:off x="0" y="0"/>
                          <a:ext cx="3209925" cy="1152525"/>
                        </a:xfrm>
                        <a:prstGeom prst="rect"/>
                        <a:ln/>
                      </pic:spPr>
                    </pic:pic>
                  </a:graphicData>
                </a:graphic>
              </wp:anchor>
            </w:drawing>
          </mc:Fallback>
        </mc:AlternateContent>
      </w:r>
    </w:p>
    <w:sectPr>
      <w:type w:val="continuous"/>
      <w:pgSz w:h="16838" w:w="11906" w:orient="portrait"/>
      <w:pgMar w:bottom="1440" w:top="1080" w:left="906" w:right="906" w:header="720" w:footer="720"/>
      <w:cols w:equalWidth="0" w:num="2">
        <w:col w:space="360" w:w="4867"/>
        <w:col w:space="0" w:w="4867"/>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XXX-X-XXXX-XXXX-X/XX/$XX.00 ©20XX IEEE</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425.19685039370086"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upperRoman"/>
      <w:lvlText w:val="%1."/>
      <w:lvlJc w:val="center"/>
      <w:pPr>
        <w:ind w:left="0" w:firstLine="216"/>
      </w:pPr>
      <w:rPr>
        <w:rFonts w:ascii="Times New Roman" w:cs="Times New Roman" w:eastAsia="Times New Roman" w:hAnsi="Times New Roman"/>
        <w:smallCaps w:val="0"/>
        <w:strike w:val="0"/>
        <w:color w:val="000000"/>
        <w:sz w:val="20"/>
        <w:szCs w:val="20"/>
        <w:vertAlign w:val="baseline"/>
      </w:rPr>
    </w:lvl>
    <w:lvl w:ilvl="1">
      <w:start w:val="1"/>
      <w:numFmt w:val="upperLetter"/>
      <w:lvlText w:val="%2."/>
      <w:lvlJc w:val="left"/>
      <w:pPr>
        <w:ind w:left="288" w:hanging="288"/>
      </w:pPr>
      <w:rPr>
        <w:rFonts w:ascii="Times New Roman" w:cs="Times New Roman" w:eastAsia="Times New Roman" w:hAnsi="Times New Roman"/>
        <w:b w:val="0"/>
        <w:i w:val="1"/>
        <w:smallCaps w:val="0"/>
        <w:strike w:val="0"/>
        <w:color w:val="000000"/>
        <w:sz w:val="20"/>
        <w:szCs w:val="20"/>
        <w:vertAlign w:val="baseline"/>
      </w:rPr>
    </w:lvl>
    <w:lvl w:ilvl="2">
      <w:start w:val="1"/>
      <w:numFmt w:val="decimal"/>
      <w:lvlText w:val="%3)"/>
      <w:lvlJc w:val="left"/>
      <w:pPr>
        <w:ind w:left="0" w:firstLine="180"/>
      </w:pPr>
      <w:rPr>
        <w:rFonts w:ascii="Times New Roman" w:cs="Times New Roman" w:eastAsia="Times New Roman" w:hAnsi="Times New Roman"/>
        <w:b w:val="0"/>
        <w:i w:val="1"/>
        <w:smallCaps w:val="0"/>
        <w:strike w:val="0"/>
        <w:color w:val="000000"/>
        <w:sz w:val="20"/>
        <w:szCs w:val="20"/>
        <w:vertAlign w:val="baseline"/>
      </w:rPr>
    </w:lvl>
    <w:lvl w:ilvl="3">
      <w:start w:val="1"/>
      <w:numFmt w:val="lowerLetter"/>
      <w:lvlText w:val="%4)"/>
      <w:lvlJc w:val="left"/>
      <w:pPr>
        <w:ind w:left="0" w:firstLine="360"/>
      </w:pPr>
      <w:rPr>
        <w:rFonts w:ascii="Times New Roman" w:cs="Times New Roman" w:eastAsia="Times New Roman" w:hAnsi="Times New Roman"/>
        <w:b w:val="0"/>
        <w:i w:val="1"/>
        <w:sz w:val="20"/>
        <w:szCs w:val="20"/>
      </w:rPr>
    </w:lvl>
    <w:lvl w:ilvl="4">
      <w:start w:val="1"/>
      <w:numFmt w:val="decimal"/>
      <w:lvlText w:val=""/>
      <w:lvlJc w:val="left"/>
      <w:pPr>
        <w:ind w:left="2880" w:hanging="2880"/>
      </w:pPr>
      <w:rPr/>
    </w:lvl>
    <w:lvl w:ilvl="5">
      <w:start w:val="1"/>
      <w:numFmt w:val="lowerLetter"/>
      <w:lvlText w:val="(%6)"/>
      <w:lvlJc w:val="left"/>
      <w:pPr>
        <w:ind w:left="3600" w:hanging="3600"/>
      </w:pPr>
      <w:rPr/>
    </w:lvl>
    <w:lvl w:ilvl="6">
      <w:start w:val="1"/>
      <w:numFmt w:val="lowerRoman"/>
      <w:lvlText w:val="(%7)"/>
      <w:lvlJc w:val="left"/>
      <w:pPr>
        <w:ind w:left="4320" w:hanging="4320"/>
      </w:pPr>
      <w:rPr/>
    </w:lvl>
    <w:lvl w:ilvl="7">
      <w:start w:val="1"/>
      <w:numFmt w:val="lowerLetter"/>
      <w:lvlText w:val="(%8)"/>
      <w:lvlJc w:val="left"/>
      <w:pPr>
        <w:ind w:left="5040" w:hanging="5040"/>
      </w:pPr>
      <w:rPr/>
    </w:lvl>
    <w:lvl w:ilvl="8">
      <w:start w:val="1"/>
      <w:numFmt w:val="lowerRoman"/>
      <w:lvlText w:val="(%9)"/>
      <w:lvlJc w:val="left"/>
      <w:pPr>
        <w:ind w:left="5760" w:hanging="5760"/>
      </w:pPr>
      <w:rPr/>
    </w:lvl>
  </w:abstractNum>
  <w:abstractNum w:abstractNumId="3">
    <w:lvl w:ilvl="0">
      <w:start w:val="1"/>
      <w:numFmt w:val="bullet"/>
      <w:lvlText w:val="●"/>
      <w:lvlJc w:val="left"/>
      <w:pPr>
        <w:ind w:left="648"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Fig. %1."/>
      <w:lvlJc w:val="left"/>
      <w:pPr>
        <w:ind w:left="360" w:hanging="360"/>
      </w:pPr>
      <w:rPr>
        <w:rFonts w:ascii="Times New Roman" w:cs="Times New Roman" w:eastAsia="Times New Roman" w:hAnsi="Times New Roman"/>
        <w:b w:val="0"/>
        <w:i w:val="0"/>
        <w:color w:val="000000"/>
        <w:sz w:val="16"/>
        <w:szCs w:val="16"/>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lowerLetter"/>
      <w:lvlText w:val="%1."/>
      <w:lvlJc w:val="right"/>
      <w:pPr>
        <w:ind w:left="418" w:hanging="360"/>
      </w:pPr>
      <w:rPr>
        <w:rFonts w:ascii="Times New Roman" w:cs="Times New Roman" w:eastAsia="Times New Roman" w:hAnsi="Times New Roman"/>
        <w:b w:val="0"/>
        <w:i w:val="0"/>
        <w:smallCaps w:val="0"/>
        <w:strike w:val="0"/>
        <w:color w:val="000000"/>
        <w:sz w:val="16"/>
        <w:szCs w:val="16"/>
        <w:vertAlign w:val="superscript"/>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upperRoman"/>
      <w:lvlText w:val="TABLE %1. "/>
      <w:lvlJc w:val="left"/>
      <w:pPr>
        <w:ind w:left="0" w:firstLine="0"/>
      </w:pPr>
      <w:rPr>
        <w:rFonts w:ascii="Times New Roman" w:cs="Times New Roman" w:eastAsia="Times New Roman" w:hAnsi="Times New Roman"/>
        <w:b w:val="0"/>
        <w:i w:val="0"/>
        <w:sz w:val="16"/>
        <w:szCs w:val="16"/>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zh_CN"/>
      </w:rPr>
    </w:rPrDefault>
    <w:pPrDefault>
      <w:pPr>
        <w:jc w:val="cente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216"/>
      </w:tabs>
      <w:spacing w:after="80" w:before="160" w:lineRule="auto"/>
      <w:ind w:left="0" w:firstLine="0"/>
    </w:pPr>
    <w:rPr>
      <w:smallCaps w:val="1"/>
    </w:rPr>
  </w:style>
  <w:style w:type="paragraph" w:styleId="Heading2">
    <w:name w:val="heading 2"/>
    <w:basedOn w:val="Normal"/>
    <w:next w:val="Normal"/>
    <w:pPr>
      <w:keepNext w:val="1"/>
      <w:keepLines w:val="1"/>
      <w:tabs>
        <w:tab w:val="left" w:leader="none" w:pos="288"/>
      </w:tabs>
      <w:spacing w:after="60" w:before="120" w:lineRule="auto"/>
      <w:ind w:left="288" w:hanging="288"/>
      <w:jc w:val="left"/>
    </w:pPr>
    <w:rPr>
      <w:i w:val="1"/>
    </w:rPr>
  </w:style>
  <w:style w:type="paragraph" w:styleId="Heading3">
    <w:name w:val="heading 3"/>
    <w:basedOn w:val="Normal"/>
    <w:next w:val="Normal"/>
    <w:pPr>
      <w:spacing w:line="240" w:lineRule="auto"/>
      <w:ind w:left="0" w:firstLine="288"/>
      <w:jc w:val="both"/>
    </w:pPr>
    <w:rPr>
      <w:i w:val="1"/>
    </w:rPr>
  </w:style>
  <w:style w:type="paragraph" w:styleId="Heading4">
    <w:name w:val="heading 4"/>
    <w:basedOn w:val="Normal"/>
    <w:next w:val="Normal"/>
    <w:pPr>
      <w:tabs>
        <w:tab w:val="left" w:leader="none" w:pos="720"/>
      </w:tabs>
      <w:spacing w:after="40" w:before="40" w:lineRule="auto"/>
      <w:ind w:left="0" w:firstLine="504"/>
      <w:jc w:val="both"/>
    </w:pPr>
    <w:rPr>
      <w:i w:val="1"/>
    </w:rPr>
  </w:style>
  <w:style w:type="paragraph" w:styleId="Heading5">
    <w:name w:val="heading 5"/>
    <w:basedOn w:val="Normal"/>
    <w:next w:val="Normal"/>
    <w:pPr>
      <w:tabs>
        <w:tab w:val="left" w:leader="none" w:pos="360"/>
      </w:tabs>
      <w:spacing w:after="80" w:before="160" w:lineRule="auto"/>
    </w:pPr>
    <w:rPr>
      <w:smallCaps w:val="1"/>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7" w:default="1">
    <w:name w:val="Default Paragraph Font"/>
    <w:uiPriority w:val="1"/>
    <w:semiHidden w:val="1"/>
    <w:unhideWhenUsed w:val="1"/>
  </w:style>
  <w:style w:type="table" w:styleId="8" w:default="1">
    <w:name w:val="Normal Table"/>
    <w:uiPriority w:val="99"/>
    <w:semiHidden w:val="1"/>
    <w:unhideWhenUsed w:val="1"/>
    <w:tblPr>
      <w:tblCellMar>
        <w:top w:w="0.0" w:type="dxa"/>
        <w:left w:w="108.0" w:type="dxa"/>
        <w:bottom w:w="0.0" w:type="dxa"/>
        <w:right w:w="108.0" w:type="dxa"/>
      </w:tblCellMar>
    </w:tblPr>
  </w:style>
  <w:style w:type="paragraph" w:styleId="9">
    <w:name w:val="Body Text"/>
    <w:basedOn w:val="1"/>
    <w:link w:val="15"/>
    <w:uiPriority w:val="0"/>
    <w:pPr>
      <w:tabs>
        <w:tab w:val="left" w:pos="288"/>
      </w:tabs>
      <w:spacing w:after="120" w:line="228" w:lineRule="auto"/>
      <w:ind w:firstLine="288"/>
      <w:jc w:val="both"/>
    </w:pPr>
    <w:rPr>
      <w:spacing w:val="-1"/>
      <w:lang w:eastAsia="zh-CN" w:val="zh-CN"/>
    </w:rPr>
  </w:style>
  <w:style w:type="paragraph" w:styleId="10">
    <w:name w:val="footer"/>
    <w:basedOn w:val="1"/>
    <w:link w:val="31"/>
    <w:uiPriority w:val="0"/>
    <w:pPr>
      <w:tabs>
        <w:tab w:val="center" w:pos="4680"/>
        <w:tab w:val="right" w:pos="9360"/>
      </w:tabs>
    </w:pPr>
  </w:style>
  <w:style w:type="paragraph" w:styleId="11">
    <w:name w:val="header"/>
    <w:basedOn w:val="1"/>
    <w:link w:val="30"/>
    <w:uiPriority w:val="0"/>
    <w:pPr>
      <w:tabs>
        <w:tab w:val="center" w:pos="4680"/>
        <w:tab w:val="right" w:pos="9360"/>
      </w:tabs>
    </w:pPr>
  </w:style>
  <w:style w:type="paragraph" w:styleId="12" w:customStyle="1">
    <w:name w:val="Abstract"/>
    <w:uiPriority w:val="0"/>
    <w:pPr>
      <w:spacing w:after="200"/>
      <w:ind w:firstLine="272"/>
      <w:jc w:val="both"/>
    </w:pPr>
    <w:rPr>
      <w:rFonts w:ascii="Times New Roman" w:cs="Times New Roman" w:eastAsia="SimSun" w:hAnsi="Times New Roman"/>
      <w:b w:val="1"/>
      <w:bCs w:val="1"/>
      <w:sz w:val="18"/>
      <w:szCs w:val="18"/>
      <w:lang w:bidi="ar-SA" w:eastAsia="en-US" w:val="en-US"/>
    </w:rPr>
  </w:style>
  <w:style w:type="paragraph" w:styleId="13" w:customStyle="1">
    <w:name w:val="Affiliation"/>
    <w:uiPriority w:val="0"/>
    <w:pPr>
      <w:jc w:val="center"/>
    </w:pPr>
    <w:rPr>
      <w:rFonts w:ascii="Times New Roman" w:cs="Times New Roman" w:eastAsia="SimSun" w:hAnsi="Times New Roman"/>
      <w:lang w:bidi="ar-SA" w:eastAsia="en-US" w:val="en-US"/>
    </w:rPr>
  </w:style>
  <w:style w:type="paragraph" w:styleId="14" w:customStyle="1">
    <w:name w:val="Author"/>
    <w:uiPriority w:val="0"/>
    <w:pPr>
      <w:spacing w:after="40" w:before="360"/>
      <w:jc w:val="center"/>
    </w:pPr>
    <w:rPr>
      <w:rFonts w:ascii="Times New Roman" w:cs="Times New Roman" w:eastAsia="SimSun" w:hAnsi="Times New Roman"/>
      <w:sz w:val="22"/>
      <w:szCs w:val="22"/>
      <w:lang w:bidi="ar-SA" w:eastAsia="en-US" w:val="en-US"/>
    </w:rPr>
  </w:style>
  <w:style w:type="character" w:styleId="15" w:customStyle="1">
    <w:name w:val="Body Text Char"/>
    <w:link w:val="9"/>
    <w:uiPriority w:val="0"/>
    <w:rPr>
      <w:spacing w:val="-1"/>
      <w:lang w:eastAsia="zh-CN" w:val="zh-CN"/>
    </w:rPr>
  </w:style>
  <w:style w:type="paragraph" w:styleId="16" w:customStyle="1">
    <w:name w:val="bullet list"/>
    <w:basedOn w:val="9"/>
    <w:uiPriority w:val="0"/>
    <w:pPr>
      <w:numPr>
        <w:ilvl w:val="0"/>
        <w:numId w:val="2"/>
      </w:numPr>
      <w:tabs>
        <w:tab w:val="clear" w:pos="648"/>
      </w:tabs>
      <w:ind w:left="576" w:hanging="288"/>
    </w:pPr>
  </w:style>
  <w:style w:type="paragraph" w:styleId="17" w:customStyle="1">
    <w:name w:val="equation"/>
    <w:basedOn w:val="1"/>
    <w:uiPriority w:val="0"/>
    <w:pPr>
      <w:tabs>
        <w:tab w:val="center" w:pos="2520"/>
        <w:tab w:val="right" w:pos="5040"/>
      </w:tabs>
      <w:spacing w:after="240" w:before="240" w:line="216" w:lineRule="auto"/>
    </w:pPr>
    <w:rPr>
      <w:rFonts w:ascii="Symbol" w:cs="Symbol" w:hAnsi="Symbol"/>
    </w:rPr>
  </w:style>
  <w:style w:type="paragraph" w:styleId="18" w:customStyle="1">
    <w:name w:val="figure caption"/>
    <w:uiPriority w:val="0"/>
    <w:pPr>
      <w:numPr>
        <w:ilvl w:val="0"/>
        <w:numId w:val="3"/>
      </w:numPr>
      <w:tabs>
        <w:tab w:val="left" w:pos="533"/>
      </w:tabs>
      <w:spacing w:after="200" w:before="80"/>
      <w:ind w:left="0" w:firstLine="0"/>
      <w:jc w:val="both"/>
    </w:pPr>
    <w:rPr>
      <w:rFonts w:ascii="Times New Roman" w:cs="Times New Roman" w:eastAsia="SimSun" w:hAnsi="Times New Roman"/>
      <w:sz w:val="16"/>
      <w:szCs w:val="16"/>
      <w:lang w:bidi="ar-SA" w:eastAsia="en-US" w:val="en-US"/>
    </w:rPr>
  </w:style>
  <w:style w:type="paragraph" w:styleId="19" w:customStyle="1">
    <w:name w:val="footnote"/>
    <w:uiPriority w:val="0"/>
    <w:pPr>
      <w:framePr w:lines="0" w:vSpace="187" w:hSpace="187" w:wrap="notBeside" w:hAnchor="page" w:vAnchor="text" w:x="6121" w:y="577"/>
      <w:numPr>
        <w:ilvl w:val="0"/>
        <w:numId w:val="4"/>
      </w:numPr>
      <w:spacing w:after="40"/>
    </w:pPr>
    <w:rPr>
      <w:rFonts w:ascii="Times New Roman" w:cs="Times New Roman" w:eastAsia="SimSun" w:hAnsi="Times New Roman"/>
      <w:sz w:val="16"/>
      <w:szCs w:val="16"/>
      <w:lang w:bidi="ar-SA" w:eastAsia="en-US" w:val="en-US"/>
    </w:rPr>
  </w:style>
  <w:style w:type="paragraph" w:styleId="20" w:customStyle="1">
    <w:name w:val="paper subtitle"/>
    <w:uiPriority w:val="0"/>
    <w:pPr>
      <w:spacing w:after="120"/>
      <w:jc w:val="center"/>
    </w:pPr>
    <w:rPr>
      <w:rFonts w:ascii="Times New Roman" w:cs="Times New Roman" w:eastAsia="MS Mincho" w:hAnsi="Times New Roman"/>
      <w:sz w:val="28"/>
      <w:szCs w:val="28"/>
      <w:lang w:bidi="ar-SA" w:eastAsia="en-US" w:val="en-US"/>
    </w:rPr>
  </w:style>
  <w:style w:type="paragraph" w:styleId="21" w:customStyle="1">
    <w:name w:val="paper title"/>
    <w:uiPriority w:val="0"/>
    <w:pPr>
      <w:spacing w:after="120"/>
      <w:jc w:val="center"/>
    </w:pPr>
    <w:rPr>
      <w:rFonts w:ascii="Times New Roman" w:cs="Times New Roman" w:eastAsia="MS Mincho" w:hAnsi="Times New Roman"/>
      <w:sz w:val="48"/>
      <w:szCs w:val="48"/>
      <w:lang w:bidi="ar-SA" w:eastAsia="en-US" w:val="en-US"/>
    </w:rPr>
  </w:style>
  <w:style w:type="paragraph" w:styleId="22" w:customStyle="1">
    <w:name w:val="references"/>
    <w:uiPriority w:val="0"/>
    <w:pPr>
      <w:numPr>
        <w:ilvl w:val="0"/>
        <w:numId w:val="5"/>
      </w:numPr>
      <w:spacing w:after="50" w:line="180" w:lineRule="exact"/>
      <w:jc w:val="both"/>
    </w:pPr>
    <w:rPr>
      <w:rFonts w:ascii="Times New Roman" w:cs="Times New Roman" w:eastAsia="MS Mincho" w:hAnsi="Times New Roman"/>
      <w:sz w:val="16"/>
      <w:szCs w:val="16"/>
      <w:lang w:bidi="ar-SA" w:eastAsia="en-US" w:val="en-US"/>
    </w:rPr>
  </w:style>
  <w:style w:type="paragraph" w:styleId="23" w:customStyle="1">
    <w:name w:val="sponsors"/>
    <w:uiPriority w:val="0"/>
    <w:pPr>
      <w:framePr w:lines="0" w:wrap="auto" w:hAnchor="text" w:vAnchor="margin" w:x="615" w:y="2239"/>
      <w:pBdr>
        <w:top w:color="auto" w:space="2" w:sz="4" w:val="single"/>
      </w:pBdr>
      <w:ind w:firstLine="288"/>
    </w:pPr>
    <w:rPr>
      <w:rFonts w:ascii="Times New Roman" w:cs="Times New Roman" w:eastAsia="SimSun" w:hAnsi="Times New Roman"/>
      <w:sz w:val="16"/>
      <w:szCs w:val="16"/>
      <w:lang w:bidi="ar-SA" w:eastAsia="en-US" w:val="en-US"/>
    </w:rPr>
  </w:style>
  <w:style w:type="paragraph" w:styleId="24" w:customStyle="1">
    <w:name w:val="table col head"/>
    <w:basedOn w:val="1"/>
    <w:uiPriority w:val="0"/>
    <w:rPr>
      <w:b w:val="1"/>
      <w:bCs w:val="1"/>
      <w:sz w:val="16"/>
      <w:szCs w:val="16"/>
    </w:rPr>
  </w:style>
  <w:style w:type="paragraph" w:styleId="25" w:customStyle="1">
    <w:name w:val="table col subhead"/>
    <w:basedOn w:val="24"/>
    <w:uiPriority w:val="0"/>
    <w:rPr>
      <w:i w:val="1"/>
      <w:iCs w:val="1"/>
      <w:sz w:val="15"/>
      <w:szCs w:val="15"/>
    </w:rPr>
  </w:style>
  <w:style w:type="paragraph" w:styleId="26" w:customStyle="1">
    <w:name w:val="table copy"/>
    <w:uiPriority w:val="0"/>
    <w:pPr>
      <w:jc w:val="both"/>
    </w:pPr>
    <w:rPr>
      <w:rFonts w:ascii="Times New Roman" w:cs="Times New Roman" w:eastAsia="SimSun" w:hAnsi="Times New Roman"/>
      <w:sz w:val="16"/>
      <w:szCs w:val="16"/>
      <w:lang w:bidi="ar-SA" w:eastAsia="en-US" w:val="en-US"/>
    </w:rPr>
  </w:style>
  <w:style w:type="paragraph" w:styleId="27" w:customStyle="1">
    <w:name w:val="table footnote"/>
    <w:uiPriority w:val="0"/>
    <w:pPr>
      <w:numPr>
        <w:ilvl w:val="0"/>
        <w:numId w:val="6"/>
      </w:numPr>
      <w:spacing w:after="30" w:before="60"/>
      <w:ind w:left="58" w:hanging="29"/>
      <w:jc w:val="right"/>
    </w:pPr>
    <w:rPr>
      <w:rFonts w:ascii="Times New Roman" w:cs="Times New Roman" w:eastAsia="SimSun" w:hAnsi="Times New Roman"/>
      <w:sz w:val="12"/>
      <w:szCs w:val="12"/>
      <w:lang w:bidi="ar-SA" w:eastAsia="en-US" w:val="en-US"/>
    </w:rPr>
  </w:style>
  <w:style w:type="paragraph" w:styleId="28" w:customStyle="1">
    <w:name w:val="table head"/>
    <w:uiPriority w:val="0"/>
    <w:pPr>
      <w:numPr>
        <w:ilvl w:val="0"/>
        <w:numId w:val="7"/>
      </w:numPr>
      <w:spacing w:after="120" w:before="240" w:line="216" w:lineRule="auto"/>
      <w:jc w:val="center"/>
    </w:pPr>
    <w:rPr>
      <w:rFonts w:ascii="Times New Roman" w:cs="Times New Roman" w:eastAsia="SimSun" w:hAnsi="Times New Roman"/>
      <w:smallCaps w:val="1"/>
      <w:sz w:val="16"/>
      <w:szCs w:val="16"/>
      <w:lang w:bidi="ar-SA" w:eastAsia="en-US" w:val="en-US"/>
    </w:rPr>
  </w:style>
  <w:style w:type="paragraph" w:styleId="29" w:customStyle="1">
    <w:name w:val="Keywords"/>
    <w:basedOn w:val="12"/>
    <w:uiPriority w:val="0"/>
    <w:qFormat w:val="1"/>
    <w:pPr>
      <w:spacing w:after="120"/>
      <w:ind w:firstLine="274"/>
    </w:pPr>
    <w:rPr>
      <w:i w:val="1"/>
    </w:rPr>
  </w:style>
  <w:style w:type="character" w:styleId="30" w:customStyle="1">
    <w:name w:val="Header Char"/>
    <w:basedOn w:val="7"/>
    <w:link w:val="11"/>
    <w:uiPriority w:val="0"/>
  </w:style>
  <w:style w:type="character" w:styleId="31" w:customStyle="1">
    <w:name w:val="Footer Char"/>
    <w:basedOn w:val="7"/>
    <w:link w:val="10"/>
    <w:uiPriority w:val="0"/>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ibm.com/think/topics/big-data" TargetMode="External"/><Relationship Id="rId10" Type="http://schemas.openxmlformats.org/officeDocument/2006/relationships/hyperlink" Target="https://www.researchgate.net/publication/383552085_The_Role_of_Data-Driven_Decision_Making_in_Business_Strategy" TargetMode="External"/><Relationship Id="rId13" Type="http://schemas.openxmlformats.org/officeDocument/2006/relationships/image" Target="media/image2.png"/><Relationship Id="rId12" Type="http://schemas.openxmlformats.org/officeDocument/2006/relationships/hyperlink" Target="https://www.researchgate.net/publication/376131896_Investigating_the_Impact_and_Effectiveness_of_Digital_Marketing_on_Brand_Awareness_Sales_and_Customer_Engagemen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forbes.com/sites/mckinsey/2013/07/22/big-data-analytics-and-the-future-of-marketing-sale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hxOR6gNntD/HqqEpXD2iQfefng==">CgMxLjAyDmgudXl0bDRtdHE5ZTVvMg5oLmpoM3dhZ2dsNmw1ZjIOaC56YWV4MWF1N3Bld3cyDmguYmx4c3dtMnV1dHdmMg5oLjJmOGJ0aXdxNHhiaTIOaC5xMDFwMWJscnZ5MDQyDmguMjFpaDNxazNsbm4xMg5oLjJjb3N3Mm1oZnNqMDgAciExZThvNk1fYlZqbXlKZnVrSUo3NHJzX0JwY3pGLTZacDM=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2019-01-08T19:42:00Z</dcterms:created>
  <dc:creator>IEEE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1033-12.1.22226.22226</vt:lpwstr>
  </property>
  <property fmtid="{D5CDD505-2E9C-101B-9397-08002B2CF9AE}" pid="3" name="ICV">
    <vt:lpwstr>E5221E06D50C75FAD5C5E368B704DA2A_42</vt:lpwstr>
  </property>
</Properties>
</file>