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B3A6B"/>
          <w:sz w:val="52"/>
          <w:szCs w:val="52"/>
        </w:rPr>
        <w:t xml:space="preserve">Data Handling Restrictions Document</w:t>
      </w:r>
    </w:p>
    <w:p>
      <w:pPr>
        <w:spacing w:after="60"/>
        <w:jc w:val="center"/>
      </w:pPr>
      <w:r>
        <w:rPr>
          <w:rFonts w:ascii="Arial" w:cs="Arial" w:eastAsia="Arial" w:hAnsi="Arial"/>
          <w:color w:val="2E75B6"/>
          <w:sz w:val="26"/>
          <w:szCs w:val="26"/>
        </w:rPr>
        <w:t xml:space="preserve">MSP Data Handling — Acme Retail Platform</w:t>
      </w:r>
    </w:p>
    <w:p>
      <w:pPr>
        <w:spacing w:after="180"/>
        <w:jc w:val="center"/>
      </w:pPr>
      <w:r>
        <w:rPr>
          <w:rFonts w:ascii="Arial" w:cs="Arial" w:eastAsia="Arial" w:hAnsi="Arial"/>
          <w:color w:val="888888"/>
          <w:sz w:val="18"/>
          <w:szCs w:val="18"/>
        </w:rPr>
        <w:t xml:space="preserve">v1.1  |  February 2025  |  INTERNAL – CONFIDENTIAL</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2700"/>
        <w:gridCol w:w="2800"/>
      </w:tblGrid>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Customer</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Acme Retail Inc.</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Prepared by</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Cloud Operations Team (MSP)</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Business Owner</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Linda Park – VP Digital Commerce</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Technical Owner</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James Okonkwo – Platform Lead</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MSP Lead</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Sarah Mitchell – Account Lead</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Classification</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Internal – Confidential</w:t>
            </w:r>
          </w:p>
        </w:tc>
      </w:tr>
    </w:tbl>
    <w:p>
      <w:pPr>
        <w:spacing w:after="180"/>
      </w:pPr>
      <w:r>
        <w:t xml:space="preserve"/>
      </w:r>
    </w:p>
    <w:p>
      <w:pPr>
        <w:pStyle w:val="Heading1"/>
        <w:spacing w:after="100" w:before="260"/>
      </w:pPr>
      <w:r>
        <w:rPr>
          <w:rFonts w:ascii="Arial" w:cs="Arial" w:eastAsia="Arial" w:hAnsi="Arial"/>
          <w:b/>
          <w:bCs/>
          <w:color w:val="1B3A6B"/>
          <w:sz w:val="28"/>
          <w:szCs w:val="28"/>
        </w:rPr>
        <w:t xml:space="preserve">1. Purpose</w:t>
      </w:r>
    </w:p>
    <w:p>
      <w:pPr>
        <w:pBdr>
          <w:bottom w:val="single" w:color="2E75B6" w:sz="4" w:space="1"/>
        </w:pBdr>
        <w:spacing w:after="100"/>
      </w:pPr>
    </w:p>
    <w:p>
      <w:pPr>
        <w:spacing w:after="80"/>
      </w:pPr>
      <w:r>
        <w:rPr>
          <w:rFonts w:ascii="Arial" w:cs="Arial" w:eastAsia="Arial" w:hAnsi="Arial"/>
          <w:color w:val="404040"/>
          <w:sz w:val="20"/>
          <w:szCs w:val="20"/>
        </w:rPr>
        <w:t xml:space="preserve">This document defines the mandatory restrictions governing how Cloud Operations Team (MSP) personnel handle, access, process, store, and transmit data belonging to Acme Retail Inc. These restrictions apply to all MSP staff, subcontractors, and automated tooling with access to the Acme Retail environment.</w:t>
      </w:r>
    </w:p>
    <w:p>
      <w:pPr>
        <w:spacing w:after="80"/>
      </w:pPr>
      <w:r>
        <w:rPr>
          <w:rFonts w:ascii="Arial" w:cs="Arial" w:eastAsia="Arial" w:hAnsi="Arial"/>
          <w:color w:val="404040"/>
          <w:sz w:val="20"/>
          <w:szCs w:val="20"/>
        </w:rPr>
        <w:t xml:space="preserve">Compliance is a condition of continued MSP engagement. Violations must be reported to the MSP Account Lead and Customer within 2 hours of discovery.</w:t>
      </w:r>
    </w:p>
    <w:p>
      <w:pPr>
        <w:spacing w:after="80"/>
      </w:pPr>
      <w:r>
        <w:t xml:space="preserve"/>
      </w:r>
    </w:p>
    <w:p>
      <w:pPr>
        <w:pStyle w:val="Heading1"/>
        <w:spacing w:after="100" w:before="260"/>
      </w:pPr>
      <w:r>
        <w:rPr>
          <w:rFonts w:ascii="Arial" w:cs="Arial" w:eastAsia="Arial" w:hAnsi="Arial"/>
          <w:b/>
          <w:bCs/>
          <w:color w:val="1B3A6B"/>
          <w:sz w:val="28"/>
          <w:szCs w:val="28"/>
        </w:rPr>
        <w:t xml:space="preserve">2. Data Types MSP May Encounter</w:t>
      </w:r>
    </w:p>
    <w:p>
      <w:pPr>
        <w:pBdr>
          <w:bottom w:val="single" w:color="2E75B6" w:sz="4" w:space="1"/>
        </w:pBd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c>
          <w:tcPr>
            <w:tcW w:type="dxa" w:w="22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Data Type</w:t>
            </w:r>
          </w:p>
        </w:tc>
        <w:tc>
          <w:tcPr>
            <w:tcW w:type="dxa" w:w="18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Classification</w:t>
            </w:r>
          </w:p>
        </w:tc>
        <w:tc>
          <w:tcPr>
            <w:tcW w:type="dxa" w:w="54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Examples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Customer PII</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RESTRICTED</w:t>
            </w:r>
          </w:p>
        </w:tc>
        <w:tc>
          <w:tcPr>
            <w:tcW w:type="dxa" w:w="5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Names, email addresses, shipping addresses, phone numbers, loyalty account data.</w:t>
            </w:r>
          </w:p>
        </w:tc>
      </w:tr>
      <w:tr>
        <w:tc>
          <w:tcPr>
            <w:tcW w:type="dxa" w:w="2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Order &amp; Transaction Data</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9C0006"/>
                <w:sz w:val="18"/>
                <w:szCs w:val="18"/>
              </w:rPr>
              <w:t xml:space="preserve">RESTRICTED</w:t>
            </w:r>
          </w:p>
        </w:tc>
        <w:tc>
          <w:tcPr>
            <w:tcW w:type="dxa" w:w="5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Order IDs, status, item details, payment status (no card numbers stored). 7-year retention.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Platform Configuration</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C55A11"/>
                <w:sz w:val="18"/>
                <w:szCs w:val="18"/>
              </w:rPr>
              <w:t xml:space="preserve">INTERNAL</w:t>
            </w:r>
          </w:p>
        </w:tc>
        <w:tc>
          <w:tcPr>
            <w:tcW w:type="dxa" w:w="5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Terraform state, application config, environment variables, AWS account structure.</w:t>
            </w:r>
          </w:p>
        </w:tc>
      </w:tr>
      <w:tr>
        <w:tc>
          <w:tcPr>
            <w:tcW w:type="dxa" w:w="2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Operational Logs</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C55A11"/>
                <w:sz w:val="18"/>
                <w:szCs w:val="18"/>
              </w:rPr>
              <w:t xml:space="preserve">INTERNAL</w:t>
            </w:r>
          </w:p>
        </w:tc>
        <w:tc>
          <w:tcPr>
            <w:tcW w:type="dxa" w:w="5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CloudWatch logs, VPC Flow Logs, ALB access logs. May contain IP addresses and partial PII.</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Credentials &amp; Secrets</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RESTRICTED</w:t>
            </w:r>
          </w:p>
        </w:tc>
        <w:tc>
          <w:tcPr>
            <w:tcW w:type="dxa" w:w="5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Database passwords, API keys, IAM session tokens. Must never leave approved systems.</w:t>
            </w:r>
          </w:p>
        </w:tc>
      </w:tr>
      <w:tr>
        <w:tc>
          <w:tcPr>
            <w:tcW w:type="dxa" w:w="2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Business Data</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2E75B6"/>
                <w:sz w:val="18"/>
                <w:szCs w:val="18"/>
              </w:rPr>
              <w:t xml:space="preserve">CONFIDENTIAL</w:t>
            </w:r>
          </w:p>
        </w:tc>
        <w:tc>
          <w:tcPr>
            <w:tcW w:type="dxa" w:w="5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Financial reports, pricing data, revenue metrics shared in MOR reports.</w:t>
            </w:r>
          </w:p>
        </w:tc>
      </w:tr>
    </w:tbl>
    <w:p>
      <w:pPr>
        <w:spacing w:after="80"/>
      </w:pPr>
      <w:r>
        <w:t xml:space="preserve"/>
      </w:r>
    </w:p>
    <w:p>
      <w:pPr>
        <w:pStyle w:val="Heading1"/>
        <w:spacing w:after="100" w:before="260"/>
      </w:pPr>
      <w:r>
        <w:rPr>
          <w:rFonts w:ascii="Arial" w:cs="Arial" w:eastAsia="Arial" w:hAnsi="Arial"/>
          <w:b/>
          <w:bCs/>
          <w:color w:val="1B3A6B"/>
          <w:sz w:val="28"/>
          <w:szCs w:val="28"/>
        </w:rPr>
        <w:t xml:space="preserve">3. Mandatory Restrictions</w:t>
      </w:r>
    </w:p>
    <w:p>
      <w:pPr>
        <w:pBdr>
          <w:bottom w:val="single" w:color="2E75B6" w:sz="4" w:space="1"/>
        </w:pBdr>
        <w:spacing w:after="100"/>
      </w:pPr>
    </w:p>
    <w:p>
      <w:pPr>
        <w:pStyle w:val="Heading2"/>
        <w:spacing w:after="80" w:before="180"/>
      </w:pPr>
      <w:r>
        <w:rPr>
          <w:rFonts w:ascii="Arial" w:cs="Arial" w:eastAsia="Arial" w:hAnsi="Arial"/>
          <w:b/>
          <w:bCs/>
          <w:color w:val="2E75B6"/>
          <w:sz w:val="24"/>
          <w:szCs w:val="24"/>
        </w:rPr>
        <w:t xml:space="preserve">3.1  Access Restrictions</w:t>
      </w:r>
    </w:p>
    <w:p>
      <w:pPr>
        <w:pStyle w:val="ListParagraph"/>
        <w:numPr>
          <w:ilvl w:val="0"/>
          <w:numId w:val="2"/>
        </w:numPr>
        <w:spacing w:after="60"/>
      </w:pPr>
      <w:r>
        <w:rPr>
          <w:rFonts w:ascii="Arial" w:cs="Arial" w:eastAsia="Arial" w:hAnsi="Arial"/>
          <w:sz w:val="20"/>
          <w:szCs w:val="20"/>
        </w:rPr>
        <w:t xml:space="preserve">MSP personnel must not access customer data beyond the minimum required to resolve an incident or complete an approved change.</w:t>
      </w:r>
    </w:p>
    <w:p>
      <w:pPr>
        <w:pStyle w:val="ListParagraph"/>
        <w:numPr>
          <w:ilvl w:val="0"/>
          <w:numId w:val="2"/>
        </w:numPr>
        <w:spacing w:after="60"/>
      </w:pPr>
      <w:r>
        <w:rPr>
          <w:rFonts w:ascii="Arial" w:cs="Arial" w:eastAsia="Arial" w:hAnsi="Arial"/>
          <w:sz w:val="20"/>
          <w:szCs w:val="20"/>
        </w:rPr>
        <w:t xml:space="preserve">Accessing RESTRICTED data (PII, order data) requires explicit written approval from Customer Platform Lead per incident, documented in Jira.</w:t>
      </w:r>
    </w:p>
    <w:p>
      <w:pPr>
        <w:pStyle w:val="ListParagraph"/>
        <w:numPr>
          <w:ilvl w:val="0"/>
          <w:numId w:val="2"/>
        </w:numPr>
        <w:spacing w:after="60"/>
      </w:pPr>
      <w:r>
        <w:rPr>
          <w:rFonts w:ascii="Arial" w:cs="Arial" w:eastAsia="Arial" w:hAnsi="Arial"/>
          <w:sz w:val="20"/>
          <w:szCs w:val="20"/>
        </w:rPr>
        <w:t xml:space="preserve">Database queries on production RDS must be read-only and limited to data strictly needed. Query must be documented in the incident ticket.</w:t>
      </w:r>
    </w:p>
    <w:p>
      <w:pPr>
        <w:pStyle w:val="ListParagraph"/>
        <w:numPr>
          <w:ilvl w:val="0"/>
          <w:numId w:val="2"/>
        </w:numPr>
        <w:spacing w:after="60"/>
      </w:pPr>
      <w:r>
        <w:rPr>
          <w:rFonts w:ascii="Arial" w:cs="Arial" w:eastAsia="Arial" w:hAnsi="Arial"/>
          <w:sz w:val="20"/>
          <w:szCs w:val="20"/>
        </w:rPr>
        <w:t xml:space="preserve">No bulk data exports or dumps without written Customer approval and agreed data destruction confirmation.</w:t>
      </w:r>
    </w:p>
    <w:p>
      <w:pPr>
        <w:spacing w:after="80"/>
      </w:pPr>
      <w:r>
        <w:t xml:space="preserve"/>
      </w:r>
    </w:p>
    <w:p>
      <w:pPr>
        <w:pStyle w:val="Heading2"/>
        <w:spacing w:after="80" w:before="180"/>
      </w:pPr>
      <w:r>
        <w:rPr>
          <w:rFonts w:ascii="Arial" w:cs="Arial" w:eastAsia="Arial" w:hAnsi="Arial"/>
          <w:b/>
          <w:bCs/>
          <w:color w:val="2E75B6"/>
          <w:sz w:val="24"/>
          <w:szCs w:val="24"/>
        </w:rPr>
        <w:t xml:space="preserve">3.2  Storage Restrictions</w:t>
      </w:r>
    </w:p>
    <w:p>
      <w:pPr>
        <w:pStyle w:val="ListParagraph"/>
        <w:numPr>
          <w:ilvl w:val="0"/>
          <w:numId w:val="2"/>
        </w:numPr>
        <w:spacing w:after="60"/>
      </w:pPr>
      <w:r>
        <w:rPr>
          <w:rFonts w:ascii="Arial" w:cs="Arial" w:eastAsia="Arial" w:hAnsi="Arial"/>
          <w:sz w:val="20"/>
          <w:szCs w:val="20"/>
        </w:rPr>
        <w:t xml:space="preserve">Acme Retail data must not be stored on MSP laptops, personal devices, USB drives, or personal cloud storage.</w:t>
      </w:r>
    </w:p>
    <w:p>
      <w:pPr>
        <w:pStyle w:val="ListParagraph"/>
        <w:numPr>
          <w:ilvl w:val="0"/>
          <w:numId w:val="2"/>
        </w:numPr>
        <w:spacing w:after="60"/>
      </w:pPr>
      <w:r>
        <w:rPr>
          <w:rFonts w:ascii="Arial" w:cs="Arial" w:eastAsia="Arial" w:hAnsi="Arial"/>
          <w:sz w:val="20"/>
          <w:szCs w:val="20"/>
        </w:rPr>
        <w:t xml:space="preserve">Temporary data (e.g., log samples during investigation) must be stored in MSP encrypted shared workspace only, labelled, and deleted within 48 hours of incident resolution.</w:t>
      </w:r>
    </w:p>
    <w:p>
      <w:pPr>
        <w:pStyle w:val="ListParagraph"/>
        <w:numPr>
          <w:ilvl w:val="0"/>
          <w:numId w:val="2"/>
        </w:numPr>
        <w:spacing w:after="60"/>
      </w:pPr>
      <w:r>
        <w:rPr>
          <w:rFonts w:ascii="Arial" w:cs="Arial" w:eastAsia="Arial" w:hAnsi="Arial"/>
          <w:sz w:val="20"/>
          <w:szCs w:val="20"/>
        </w:rPr>
        <w:t xml:space="preserve">No screenshots or recordings containing RESTRICTED data stored outside MSP secure vault.</w:t>
      </w:r>
    </w:p>
    <w:p>
      <w:pPr>
        <w:spacing w:after="80"/>
      </w:pPr>
      <w:r>
        <w:t xml:space="preserve"/>
      </w:r>
    </w:p>
    <w:p>
      <w:pPr>
        <w:pStyle w:val="Heading2"/>
        <w:spacing w:after="80" w:before="180"/>
      </w:pPr>
      <w:r>
        <w:rPr>
          <w:rFonts w:ascii="Arial" w:cs="Arial" w:eastAsia="Arial" w:hAnsi="Arial"/>
          <w:b/>
          <w:bCs/>
          <w:color w:val="2E75B6"/>
          <w:sz w:val="24"/>
          <w:szCs w:val="24"/>
        </w:rPr>
        <w:t xml:space="preserve">3.3  Transmission Restrictions</w:t>
      </w:r>
    </w:p>
    <w:p>
      <w:pPr>
        <w:pStyle w:val="ListParagraph"/>
        <w:numPr>
          <w:ilvl w:val="0"/>
          <w:numId w:val="2"/>
        </w:numPr>
        <w:spacing w:after="60"/>
      </w:pPr>
      <w:r>
        <w:rPr>
          <w:rFonts w:ascii="Arial" w:cs="Arial" w:eastAsia="Arial" w:hAnsi="Arial"/>
          <w:sz w:val="20"/>
          <w:szCs w:val="20"/>
        </w:rPr>
        <w:t xml:space="preserve">Customer data must only be transmitted via encrypted channels (TLS 1.2+). Email is prohibited for RESTRICTED data.</w:t>
      </w:r>
    </w:p>
    <w:p>
      <w:pPr>
        <w:pStyle w:val="ListParagraph"/>
        <w:numPr>
          <w:ilvl w:val="0"/>
          <w:numId w:val="2"/>
        </w:numPr>
        <w:spacing w:after="60"/>
      </w:pPr>
      <w:r>
        <w:rPr>
          <w:rFonts w:ascii="Arial" w:cs="Arial" w:eastAsia="Arial" w:hAnsi="Arial"/>
          <w:sz w:val="20"/>
          <w:szCs w:val="20"/>
        </w:rPr>
        <w:t xml:space="preserve">Jira comments must redact PII — use customer ID or order ID references only. No PII in public-facing or shared channels.</w:t>
      </w:r>
    </w:p>
    <w:p>
      <w:pPr>
        <w:pStyle w:val="ListParagraph"/>
        <w:numPr>
          <w:ilvl w:val="0"/>
          <w:numId w:val="2"/>
        </w:numPr>
        <w:spacing w:after="60"/>
      </w:pPr>
      <w:r>
        <w:rPr>
          <w:rFonts w:ascii="Arial" w:cs="Arial" w:eastAsia="Arial" w:hAnsi="Arial"/>
          <w:sz w:val="20"/>
          <w:szCs w:val="20"/>
        </w:rPr>
        <w:t xml:space="preserve">Use 1Password Secure Notes for temporary credential sharing between MSP engineers, not Slack or email.</w:t>
      </w:r>
    </w:p>
    <w:p>
      <w:pPr>
        <w:spacing w:after="80"/>
      </w:pPr>
      <w:r>
        <w:t xml:space="preserve"/>
      </w:r>
    </w:p>
    <w:p>
      <w:pPr>
        <w:pStyle w:val="Heading2"/>
        <w:spacing w:after="80" w:before="180"/>
      </w:pPr>
      <w:r>
        <w:rPr>
          <w:rFonts w:ascii="Arial" w:cs="Arial" w:eastAsia="Arial" w:hAnsi="Arial"/>
          <w:b/>
          <w:bCs/>
          <w:color w:val="2E75B6"/>
          <w:sz w:val="24"/>
          <w:szCs w:val="24"/>
        </w:rPr>
        <w:t xml:space="preserve">3.4  AI Tool Restrictions</w:t>
      </w:r>
    </w:p>
    <w:p>
      <w:pPr>
        <w:pStyle w:val="ListParagraph"/>
        <w:numPr>
          <w:ilvl w:val="0"/>
          <w:numId w:val="2"/>
        </w:numPr>
        <w:spacing w:after="60"/>
      </w:pPr>
      <w:r>
        <w:rPr>
          <w:rFonts w:ascii="Arial" w:cs="Arial" w:eastAsia="Arial" w:hAnsi="Arial"/>
          <w:sz w:val="20"/>
          <w:szCs w:val="20"/>
        </w:rPr>
        <w:t xml:space="preserve">MSP AI tools (ChatGPT, GitHub Copilot, or similar) must NOT be used with Acme Retail data, logs, configurations, or code as input.</w:t>
      </w:r>
    </w:p>
    <w:p>
      <w:pPr>
        <w:pStyle w:val="ListParagraph"/>
        <w:numPr>
          <w:ilvl w:val="0"/>
          <w:numId w:val="2"/>
        </w:numPr>
        <w:spacing w:after="60"/>
      </w:pPr>
      <w:r>
        <w:rPr>
          <w:rFonts w:ascii="Arial" w:cs="Arial" w:eastAsia="Arial" w:hAnsi="Arial"/>
          <w:sz w:val="20"/>
          <w:szCs w:val="20"/>
        </w:rPr>
        <w:t xml:space="preserve">This restriction applies to all AI code completion, AI chat, and AI summarisation tools regardless of claimed data privacy settings.</w:t>
      </w:r>
    </w:p>
    <w:p>
      <w:pPr>
        <w:spacing w:after="80"/>
      </w:pPr>
      <w:r>
        <w:t xml:space="preserve"/>
      </w:r>
    </w:p>
    <w:p>
      <w:pPr>
        <w:pStyle w:val="Heading1"/>
        <w:spacing w:after="100" w:before="260"/>
      </w:pPr>
      <w:r>
        <w:rPr>
          <w:rFonts w:ascii="Arial" w:cs="Arial" w:eastAsia="Arial" w:hAnsi="Arial"/>
          <w:b/>
          <w:bCs/>
          <w:color w:val="1B3A6B"/>
          <w:sz w:val="28"/>
          <w:szCs w:val="28"/>
        </w:rPr>
        <w:t xml:space="preserve">4. Breach Reporting</w:t>
      </w:r>
    </w:p>
    <w:p>
      <w:pPr>
        <w:pBdr>
          <w:bottom w:val="single" w:color="2E75B6" w:sz="4" w:space="1"/>
        </w:pBd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400"/>
      </w:tblGrid>
      <w:tr>
        <w:tc>
          <w:tcPr>
            <w:tcW w:type="dxa" w:w="18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Timeframe</w:t>
            </w:r>
          </w:p>
        </w:tc>
        <w:tc>
          <w:tcPr>
            <w:tcW w:type="dxa" w:w="32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Action Required</w:t>
            </w:r>
          </w:p>
        </w:tc>
        <w:tc>
          <w:tcPr>
            <w:tcW w:type="dxa" w:w="44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Notify</w:t>
            </w:r>
          </w:p>
        </w:tc>
      </w:tr>
      <w:tr>
        <w:tc>
          <w:tcPr>
            <w:tcW w:type="dxa" w:w="1800"/>
            <w:gridSpan w:val="1"/>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left"/>
            </w:pPr>
            <w:r>
              <w:rPr>
                <w:rFonts w:ascii="Arial" w:cs="Arial" w:eastAsia="Arial" w:hAnsi="Arial"/>
                <w:b/>
                <w:bCs/>
                <w:color w:val="000000"/>
                <w:sz w:val="18"/>
                <w:szCs w:val="18"/>
              </w:rPr>
              <w:t xml:space="preserve">Within 2 hours</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Contain incident; revoke access if needed; document in Jira.</w:t>
            </w:r>
          </w:p>
        </w:tc>
        <w:tc>
          <w:tcPr>
            <w:tcW w:type="dxa" w:w="4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MSP Account Lead (Sarah Mitchell), Customer Platform Lead (James Okonkwo)</w:t>
            </w:r>
          </w:p>
        </w:tc>
      </w:tr>
      <w:tr>
        <w:tc>
          <w:tcPr>
            <w:tcW w:type="dxa" w:w="1800"/>
            <w:gridSpan w:val="1"/>
            <w:tcBorders>
              <w:top w:val="single" w:color="CCCCCC" w:sz="1"/>
              <w:left w:val="single" w:color="CCCCCC" w:sz="1"/>
              <w:bottom w:val="single" w:color="CCCCCC" w:sz="1"/>
              <w:right w:val="single" w:color="CCCCCC" w:sz="1"/>
            </w:tcBorders>
            <w:shd w:fill="FFEB9C" w:val="clear"/>
            <w:tcMar>
              <w:top w:type="dxa" w:w="60"/>
              <w:left w:type="dxa" w:w="120"/>
              <w:bottom w:type="dxa" w:w="60"/>
              <w:right w:type="dxa" w:w="120"/>
            </w:tcMar>
          </w:tcPr>
          <w:p>
            <w:pPr>
              <w:jc w:val="left"/>
            </w:pPr>
            <w:r>
              <w:rPr>
                <w:rFonts w:ascii="Arial" w:cs="Arial" w:eastAsia="Arial" w:hAnsi="Arial"/>
                <w:b/>
                <w:bCs/>
                <w:color w:val="000000"/>
                <w:sz w:val="18"/>
                <w:szCs w:val="18"/>
              </w:rPr>
              <w:t xml:space="preserve">Within 24 hours</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Written incident summary: data affected, scope, preliminary root cause.</w:t>
            </w:r>
          </w:p>
        </w:tc>
        <w:tc>
          <w:tcPr>
            <w:tcW w:type="dxa" w:w="4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Business Owner (Linda Park), Customer Security Lead (Mei Chen)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Within 72 hours</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Full root cause analysis and remediation plan.</w:t>
            </w:r>
          </w:p>
        </w:tc>
        <w:tc>
          <w:tcPr>
            <w:tcW w:type="dxa" w:w="4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CTO; MSP Director</w:t>
            </w:r>
          </w:p>
        </w:tc>
      </w:tr>
    </w:tbl>
    <w:p>
      <w:pPr>
        <w:spacing w:after="80"/>
      </w:pPr>
      <w:r>
        <w:t xml:space="preserve"/>
      </w:r>
    </w:p>
    <w:p>
      <w:pPr>
        <w:pBdr>
          <w:left w:val="single" w:color="2E75B6" w:sz="4" w:space="8"/>
        </w:pBdr>
        <w:spacing w:after="80"/>
        <w:ind w:left="360"/>
      </w:pPr>
      <w:r>
        <w:rPr>
          <w:rFonts w:ascii="Arial" w:cs="Arial" w:eastAsia="Arial" w:hAnsi="Arial"/>
          <w:color w:val="555555"/>
          <w:sz w:val="18"/>
          <w:szCs w:val="18"/>
        </w:rPr>
        <w:t xml:space="preserve">MSP is a data processor, not a data controller. All regulatory notifications (GDPR, etc.) are the responsibility of Acme Retail Inc. MSP provides full co-operation and evidence within 24 hours of request.</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4" w:space="2"/>
      </w:pBdr>
      <w:spacing w:after="100" w:before="260"/>
      <w:outlineLvl w:val="0"/>
    </w:pPr>
    <w:rPr>
      <w:rFonts w:ascii="Arial" w:cs="Arial" w:eastAsia="Arial" w:hAnsi="Arial"/>
      <w:b/>
      <w:bCs/>
      <w:color w:val="1B3A6B"/>
      <w:sz w:val="28"/>
      <w:szCs w:val="28"/>
    </w:rPr>
  </w:style>
  <w:style w:type="paragraph" w:styleId="Heading2">
    <w:name w:val="Heading 2"/>
    <w:basedOn w:val="Normal"/>
    <w:next w:val="Normal"/>
    <w:pPr>
      <w:spacing w:after="80" w:before="180"/>
      <w:outlineLvl w:val="1"/>
    </w:pPr>
    <w:rPr>
      <w:rFonts w:ascii="Arial" w:cs="Arial" w:eastAsia="Arial" w:hAnsi="Arial"/>
      <w:b/>
      <w:bCs/>
      <w:color w:val="2E75B6"/>
      <w:sz w:val="24"/>
      <w:szCs w:val="24"/>
    </w:rPr>
  </w:style>
  <w:style w:type="paragraph" w:styleId="Heading3">
    <w:name w:val="Heading 3"/>
    <w:basedOn w:val="Normal"/>
    <w:next w:val="Normal"/>
    <w:pPr>
      <w:spacing w:after="60" w:before="140"/>
      <w:outlineLvl w:val="2"/>
    </w:pPr>
    <w:rPr>
      <w:rFonts w:ascii="Arial" w:cs="Arial" w:eastAsia="Arial" w:hAnsi="Arial"/>
      <w:b/>
      <w:bCs/>
      <w:color w:val="00707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2026-06-15T06:53:36.542Z</dcterms:created>
  <dcterms:modified xsi:type="dcterms:W3CDTF">2026-06-15T06:53:36.542Z</dcterms:modified>
</cp:coreProperties>
</file>

<file path=docProps/custom.xml><?xml version="1.0" encoding="utf-8"?>
<Properties xmlns="http://schemas.openxmlformats.org/officeDocument/2006/custom-properties" xmlns:vt="http://schemas.openxmlformats.org/officeDocument/2006/docPropsVTypes"/>
</file>