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200"/>
        <w:jc w:val="center"/>
      </w:pPr>
      <w:r>
        <w:rPr>
          <w:rFonts w:ascii="Arial" w:cs="Arial" w:eastAsia="Arial" w:hAnsi="Arial"/>
          <w:b/>
          <w:bCs/>
          <w:color w:val="1B3A6B"/>
          <w:sz w:val="52"/>
          <w:szCs w:val="52"/>
        </w:rPr>
        <w:t xml:space="preserve">Network Architecture Document</w:t>
      </w:r>
    </w:p>
    <w:p>
      <w:pPr>
        <w:spacing w:after="60"/>
        <w:jc w:val="center"/>
      </w:pPr>
      <w:r>
        <w:rPr>
          <w:rFonts w:ascii="Arial" w:cs="Arial" w:eastAsia="Arial" w:hAnsi="Arial"/>
          <w:color w:val="2E75B6"/>
          <w:sz w:val="26"/>
          <w:szCs w:val="26"/>
        </w:rPr>
        <w:t xml:space="preserve">Network Design Specification — Acme Retail Platform</w:t>
      </w:r>
    </w:p>
    <w:p>
      <w:pPr>
        <w:spacing w:after="180"/>
        <w:jc w:val="center"/>
      </w:pPr>
      <w:r>
        <w:rPr>
          <w:rFonts w:ascii="Arial" w:cs="Arial" w:eastAsia="Arial" w:hAnsi="Arial"/>
          <w:color w:val="888888"/>
          <w:sz w:val="18"/>
          <w:szCs w:val="18"/>
        </w:rPr>
        <w:t xml:space="preserve">v1.1  |  April 2025  |  INTERNAL – CONFIDENTIAL</w:t>
      </w:r>
    </w:p>
    <w:tbl>
      <w:tblPr>
        <w:tblW w:type="dxa" w:w="11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3000"/>
        <w:gridCol w:w="2700"/>
        <w:gridCol w:w="2800"/>
      </w:tblGrid>
      <w:tr>
        <w:tc>
          <w:tcPr>
            <w:tcW w:type="dxa" w:w="2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Customer</w:t>
            </w:r>
          </w:p>
        </w:tc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Acme Retail Inc.</w:t>
            </w:r>
          </w:p>
        </w:tc>
        <w:tc>
          <w:tcPr>
            <w:tcW w:type="dxa" w:w="2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Prepared by</w:t>
            </w:r>
          </w:p>
        </w:tc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Cloud Operations Team (MSP)</w:t>
            </w:r>
          </w:p>
        </w:tc>
      </w:tr>
      <w:tr>
        <w:tc>
          <w:tcPr>
            <w:tcW w:type="dxa" w:w="2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Business Owner</w:t>
            </w:r>
          </w:p>
        </w:tc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Linda Park – VP Digital Commerce</w:t>
            </w:r>
          </w:p>
        </w:tc>
        <w:tc>
          <w:tcPr>
            <w:tcW w:type="dxa" w:w="2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Technical Owner</w:t>
            </w:r>
          </w:p>
        </w:tc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James Okonkwo – Platform Lead</w:t>
            </w:r>
          </w:p>
        </w:tc>
      </w:tr>
      <w:tr>
        <w:tc>
          <w:tcPr>
            <w:tcW w:type="dxa" w:w="2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MSP Lead</w:t>
            </w:r>
          </w:p>
        </w:tc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Sarah Mitchell – Account Lead</w:t>
            </w:r>
          </w:p>
        </w:tc>
        <w:tc>
          <w:tcPr>
            <w:tcW w:type="dxa" w:w="2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Classification</w:t>
            </w:r>
          </w:p>
        </w:tc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9C0006"/>
                <w:sz w:val="18"/>
                <w:szCs w:val="18"/>
              </w:rPr>
              <w:t xml:space="preserve">Internal – Confidential</w:t>
            </w:r>
          </w:p>
        </w:tc>
      </w:tr>
    </w:tbl>
    <w:p>
      <w:pPr>
        <w:spacing w:after="180"/>
      </w:pPr>
      <w:r>
        <w:t xml:space="preserve"/>
      </w:r>
    </w:p>
    <w:p>
      <w:pPr>
        <w:pStyle w:val="Heading1"/>
        <w:spacing w:after="100" w:before="26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1. Purpose</w:t>
      </w:r>
    </w:p>
    <w:p>
      <w:pPr>
        <w:pBdr>
          <w:bottom w:val="single" w:color="2E75B6" w:sz="4" w:space="1"/>
        </w:pBdr>
        <w:spacing w:after="100"/>
      </w:pPr>
    </w:p>
    <w:p>
      <w:pPr>
        <w:spacing w:after="8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This document describes the network architecture of the Acme Retail Platform AWS production environment. It defines VPC topology, subnet structure, routing, security group design, and network security controls. Companion diagram: Acme_Retail_Network_Architecture.drawio provides the visual representation.</w:t>
      </w:r>
    </w:p>
    <w:p>
      <w:pPr>
        <w:spacing w:after="80"/>
      </w:pPr>
      <w:r>
        <w:t xml:space="preserve"/>
      </w:r>
    </w:p>
    <w:p>
      <w:pPr>
        <w:pStyle w:val="Heading1"/>
        <w:spacing w:after="100" w:before="26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2. Network Overview</w:t>
      </w:r>
    </w:p>
    <w:p>
      <w:pPr>
        <w:pBdr>
          <w:bottom w:val="single" w:color="2E75B6" w:sz="4" w:space="1"/>
        </w:pBdr>
        <w:spacing w:after="100"/>
      </w:pP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800"/>
      </w:tblGrid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VPC Name</w:t>
            </w:r>
          </w:p>
        </w:tc>
        <w:tc>
          <w:tcPr>
            <w:tcW w:type="dxa" w:w="6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prod-vpc</w:t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VPC CIDR</w:t>
            </w:r>
          </w:p>
        </w:tc>
        <w:tc>
          <w:tcPr>
            <w:tcW w:type="dxa" w:w="6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10.0.0.0/16 (65,536 addresses)</w:t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AWS Region</w:t>
            </w:r>
          </w:p>
        </w:tc>
        <w:tc>
          <w:tcPr>
            <w:tcW w:type="dxa" w:w="6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us-east-1 (N. Virginia) — Production</w:t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Availability Zones</w:t>
            </w:r>
          </w:p>
        </w:tc>
        <w:tc>
          <w:tcPr>
            <w:tcW w:type="dxa" w:w="6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us-east-1a, us-east-1b, us-east-1c</w:t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DR VPC</w:t>
            </w:r>
          </w:p>
        </w:tc>
        <w:tc>
          <w:tcPr>
            <w:tcW w:type="dxa" w:w="6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dr-vpc (us-west-2): 10.1.0.0/16 — Warm standby. Mirrors prod subnet design. Pre-provisioned via Terraform.</w:t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Shared Services VPC</w:t>
            </w:r>
          </w:p>
        </w:tc>
        <w:tc>
          <w:tcPr>
            <w:tcW w:type="dxa" w:w="6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shared-vpc: 10.20.0.0/16. VPC Peered to prod-vpc. Hosts AD, internal monitoring collectors.</w:t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On-Premises Connectivity</w:t>
            </w:r>
          </w:p>
        </w:tc>
        <w:tc>
          <w:tcPr>
            <w:tcW w:type="dxa" w:w="6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AWS Direct Connect 1 Gbps (Equinix NY5) + Site-to-Site VPN backup. BGP ASN: 64512. Customer DC CIDR: 192.168.0.0/16.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  <w:spacing w:after="100" w:before="26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3. Subnet Architecture</w:t>
      </w:r>
    </w:p>
    <w:p>
      <w:pPr>
        <w:pBdr>
          <w:bottom w:val="single" w:color="2E75B6" w:sz="4" w:space="1"/>
        </w:pBdr>
        <w:spacing w:after="100"/>
      </w:pPr>
    </w:p>
    <w:tbl>
      <w:tblPr>
        <w:tblW w:type="dxa" w:w="11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400"/>
        <w:gridCol w:w="1600"/>
        <w:gridCol w:w="1800"/>
        <w:gridCol w:w="3800"/>
      </w:tblGrid>
      <w:tr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Subnet Group</w:t>
            </w:r>
          </w:p>
        </w:tc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CIDR (per AZ)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AZ Coverage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  <w:tc>
          <w:tcPr>
            <w:tcW w:type="dxa" w:w="3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Route Table</w:t>
            </w:r>
          </w:p>
        </w:tc>
      </w:tr>
      <w:tr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Public – DMZ</w:t>
            </w:r>
          </w:p>
        </w:tc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10.0.0.0/24 (1a)
10.0.1.0/24 (1b)
10.0.2.0/24 (1c)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All 3 AZs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External ALB, NAT Gateways</w:t>
            </w:r>
          </w:p>
        </w:tc>
        <w:tc>
          <w:tcPr>
            <w:tcW w:type="dxa" w:w="3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public-rtb: 0.0.0.0/0 → Internet Gateway</w:t>
            </w:r>
          </w:p>
        </w:tc>
      </w:tr>
      <w:tr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Private – App Tier</w:t>
            </w:r>
          </w:p>
        </w:tc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10.0.10.0/20 (1a)
10.0.12.0/20 (1b)
10.0.14.0/20 (1c)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All 3 AZs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EC2 ASG, ECS Fargate, Lambda</w:t>
            </w:r>
          </w:p>
        </w:tc>
        <w:tc>
          <w:tcPr>
            <w:tcW w:type="dxa" w:w="3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private-rtb-1a/1b/1c: AZ-local NAT GW for egress. VPC endpoints for AWS services.</w:t>
            </w:r>
          </w:p>
        </w:tc>
      </w:tr>
      <w:tr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Private – Data Tier</w:t>
            </w:r>
          </w:p>
        </w:tc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10.0.20.0/24 (1a)
10.0.21.0/24 (1b)
10.0.22.0/24 (1c)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All 3 AZs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RDS Aurora, ElastiCache, OpenSearch</w:t>
            </w:r>
          </w:p>
        </w:tc>
        <w:tc>
          <w:tcPr>
            <w:tcW w:type="dxa" w:w="3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data-rtb: no NAT, no IGW. VPC Gateway/Interface Endpoints only.</w:t>
            </w:r>
          </w:p>
        </w:tc>
      </w:tr>
      <w:tr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Private – Management</w:t>
            </w:r>
          </w:p>
        </w:tc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10.0.30.0/24 (1a only)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1a only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Bastion alt, internal tooling</w:t>
            </w:r>
          </w:p>
        </w:tc>
        <w:tc>
          <w:tcPr>
            <w:tcW w:type="dxa" w:w="3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mgmt-rtb: DX/VPN route to on-prem (192.168.0.0/16).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  <w:spacing w:after="100" w:before="26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4. Security Group Design</w:t>
      </w:r>
    </w:p>
    <w:p>
      <w:pPr>
        <w:pBdr>
          <w:bottom w:val="single" w:color="2E75B6" w:sz="4" w:space="1"/>
        </w:pBdr>
        <w:spacing w:after="100"/>
      </w:pP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5000"/>
      </w:tblGrid>
      <w:tr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Security Group</w:t>
            </w:r>
          </w:p>
        </w:tc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Inbound Rules</w:t>
            </w:r>
          </w:p>
        </w:tc>
        <w:tc>
          <w:tcPr>
            <w:tcW w:type="dxa" w:w="5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Outbound / Notes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alb-external-sg</w:t>
            </w:r>
          </w:p>
        </w:tc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443 from CloudFront prefix list only
80 → redirect to 443</w:t>
            </w:r>
          </w:p>
        </w:tc>
        <w:tc>
          <w:tcPr>
            <w:tcW w:type="dxa" w:w="5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8080, 443 to webserver-sg. CloudFront prefix list ensures only CloudFront IPs reach ALB — direct internet bypass blocked.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webserver-sg</w:t>
            </w:r>
          </w:p>
        </w:tc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8080, 443 from alb-external-sg only</w:t>
            </w:r>
          </w:p>
        </w:tc>
        <w:tc>
          <w:tcPr>
            <w:tcW w:type="dxa" w:w="5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443 to appserver-sg. 443 to VPC endpoints (Secrets Manager, SSM, CW Logs). HTTPS 443 via NAT GW to external APIs.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appserver-sg</w:t>
            </w:r>
          </w:p>
        </w:tc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8080, 443 from alb-internal-sg
8080 from webserver-sg</w:t>
            </w:r>
          </w:p>
        </w:tc>
        <w:tc>
          <w:tcPr>
            <w:tcW w:type="dxa" w:w="5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3306 to rds-proxy-sg. 6379 to redis-sg. 443 to opensearch-sg. 443 to VPC endpoints. No unrestricted outbound.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rds-proxy-sg</w:t>
            </w:r>
          </w:p>
        </w:tc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3306 from webserver-sg only
3306 from appserver-sg only</w:t>
            </w:r>
          </w:p>
        </w:tc>
        <w:tc>
          <w:tcPr>
            <w:tcW w:type="dxa" w:w="5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3306 to rds-cluster-sg (proxy → Aurora). No other outbound.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rds-cluster-sg</w:t>
            </w:r>
          </w:p>
        </w:tc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3306 from rds-proxy-sg only</w:t>
            </w:r>
          </w:p>
        </w:tc>
        <w:tc>
          <w:tcPr>
            <w:tcW w:type="dxa" w:w="5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 outbound. Aurora does not initiate connections. Strictest isolation.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redis-sg</w:t>
            </w:r>
          </w:p>
        </w:tc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6379 from webserver-sg
6379 from appserver-sg</w:t>
            </w:r>
          </w:p>
        </w:tc>
        <w:tc>
          <w:tcPr>
            <w:tcW w:type="dxa" w:w="5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 outbound. Redis does not initiate connections.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opensearch-sg</w:t>
            </w:r>
          </w:p>
        </w:tc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443 (HTTPS) from appserver-sg only</w:t>
            </w:r>
          </w:p>
        </w:tc>
        <w:tc>
          <w:tcPr>
            <w:tcW w:type="dxa" w:w="5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 outbound. OpenSearch does not initiate connections.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lambda-sg</w:t>
            </w:r>
          </w:p>
        </w:tc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 inbound (Lambda is event-invoked)</w:t>
            </w:r>
          </w:p>
        </w:tc>
        <w:tc>
          <w:tcPr>
            <w:tcW w:type="dxa" w:w="5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3306 to rds-proxy-sg. 443 to VPC endpoints. 443 via NAT GW for external APIs.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  <w:spacing w:after="100" w:before="26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5. Traffic Flows</w:t>
      </w:r>
    </w:p>
    <w:p>
      <w:pPr>
        <w:pBdr>
          <w:bottom w:val="single" w:color="2E75B6" w:sz="4" w:space="1"/>
        </w:pBdr>
        <w:spacing w:after="100"/>
      </w:pP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Ingress (customer traffic): Internet → Route 53 → CloudFront (TLS termination, WAF, CDN) → External ALB (alb-external-sg) → EC2/ECS targets (webserver-sg). HTTP redirected to HTTPS at CloudFront edge.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Egress (app to external APIs): App Tier → AZ-local NAT Gateway → Internet Gateway → Stripe, Twilio, FedEx/UPS, Kount, etc. All egress logged via VPC Flow Logs.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Egress (AWS services): App Tier → VPC Interface/Gateway Endpoints (Secrets Manager, SSM, ECR, CW Logs, S3, DynamoDB) — no NAT, no internet.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On-premises (WMS): Management Subnet → Direct Connect (primary) / VPN (backup) → Customer DC 192.168.0.0/16. BGP route propagation.</w:t>
      </w:r>
    </w:p>
    <w:p>
      <w:pPr>
        <w:spacing w:after="80"/>
      </w:pPr>
      <w:r>
        <w:t xml:space="preserve"/>
      </w:r>
    </w:p>
    <w:p>
      <w:pPr>
        <w:pStyle w:val="Heading1"/>
        <w:spacing w:after="100" w:before="26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6. Network Security Controls</w:t>
      </w:r>
    </w:p>
    <w:p>
      <w:pPr>
        <w:pBdr>
          <w:bottom w:val="single" w:color="2E75B6" w:sz="4" w:space="1"/>
        </w:pBdr>
        <w:spacing w:after="100"/>
      </w:pP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000"/>
      </w:tblGrid>
      <w:t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VPC Flow Logs</w:t>
            </w:r>
          </w:p>
        </w:tc>
        <w:tc>
          <w:tcPr>
            <w:tcW w:type="dxa" w:w="7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ALL traffic (ACCEPT + REJECT) on all ENIs. CloudWatch Logs /vpc/prod-flowlogs (90-day retention) + S3 archive (12 months). Used for security investigation.</w:t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Network ACLs</w:t>
            </w:r>
          </w:p>
        </w:tc>
        <w:tc>
          <w:tcPr>
            <w:tcW w:type="dxa" w:w="7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Stateless NACLs on data-tier subnets: deny all except 3306 (MySQL) from app-tier CIDR, 6379 (Redis) from app-tier CIDR. Ephemeral ports 1024–65535 outbound allowed.</w:t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Route 53 DNS Firewall</w:t>
            </w:r>
          </w:p>
        </w:tc>
        <w:tc>
          <w:tcPr>
            <w:tcW w:type="dxa" w:w="7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Blocks outbound DNS to known malicious domains (AWS managed threat intelligence list + customer custom blocklist).</w:t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AWS WAF</w:t>
            </w:r>
          </w:p>
        </w:tc>
        <w:tc>
          <w:tcPr>
            <w:tcW w:type="dxa" w:w="7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Attached to CloudFront. Managed rules: Core Rule Set (CRS), KnownBadInputs, SQLi. Custom rules: IP rate limiting, checkout path throttling, 3PL IP allowlist, admin geo-restriction.</w:t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SCPs</w:t>
            </w:r>
          </w:p>
        </w:tc>
        <w:tc>
          <w:tcPr>
            <w:tcW w:type="dxa" w:w="7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Org SCP prevents: enabling services outside us-east-1/us-west-2, disabling VPC Flow Logs, removing security groups from RDS, disabling CloudTrail.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  <w:spacing w:after="100" w:before="26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7. VPC Endpoints</w:t>
      </w:r>
    </w:p>
    <w:p>
      <w:pPr>
        <w:pBdr>
          <w:bottom w:val="single" w:color="2E75B6" w:sz="4" w:space="1"/>
        </w:pBdr>
        <w:spacing w:after="100"/>
      </w:pP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600"/>
        <w:gridCol w:w="5400"/>
      </w:tblGrid>
      <w:t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5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Purpose &amp; Benefit</w:t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S3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Gateway</w:t>
            </w:r>
          </w:p>
        </w:tc>
        <w:tc>
          <w:tcPr>
            <w:tcW w:type="dxa" w:w="5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S3 traffic stays in AWS network. Eliminates NAT cost for high-volume S3 access. ~$800/month saving.</w:t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DynamoDB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Gateway</w:t>
            </w:r>
          </w:p>
        </w:tc>
        <w:tc>
          <w:tcPr>
            <w:tcW w:type="dxa" w:w="5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DynamoDB traffic stays in AWS network. No NAT required.</w:t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Secrets Manager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Interface (PrivateLink)</w:t>
            </w:r>
          </w:p>
        </w:tc>
        <w:tc>
          <w:tcPr>
            <w:tcW w:type="dxa" w:w="5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Secret retrieval without internet traversal. High-frequency startup and rotation calls stay private.</w:t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SSM / SSM Messages / EC2 Messages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Interface (PrivateLink)</w:t>
            </w:r>
          </w:p>
        </w:tc>
        <w:tc>
          <w:tcPr>
            <w:tcW w:type="dxa" w:w="5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Session Manager access to EC2 without bastion or internet. Required for no-SSH architecture.</w:t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ECR API / ECR DKR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Interface (PrivateLink)</w:t>
            </w:r>
          </w:p>
        </w:tc>
        <w:tc>
          <w:tcPr>
            <w:tcW w:type="dxa" w:w="5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Container image pull from ECR stays private. Eliminates NAT costs for large image pulls.</w:t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CloudWatch Logs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Interface (PrivateLink)</w:t>
            </w:r>
          </w:p>
        </w:tc>
        <w:tc>
          <w:tcPr>
            <w:tcW w:type="dxa" w:w="5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Lambda and app log shipping without internet. Required for Lambda-in-VPC without NAT.</w:t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STS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Interface (PrivateLink)</w:t>
            </w:r>
          </w:p>
        </w:tc>
        <w:tc>
          <w:tcPr>
            <w:tcW w:type="dxa" w:w="5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IAM AssumeRole stays private. Critical for high-frequency credential refresh by app roles.</w:t>
            </w:r>
          </w:p>
        </w:tc>
      </w:tr>
    </w:tbl>
    <w:sectPr>
      <w:pgSz w:w="12240" w:h="15840" w:orient="portrait"/>
      <w:pgMar w:top="1080" w:right="1000" w:bottom="108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–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pBdr>
        <w:bottom w:val="single" w:color="2E75B6" w:sz="4" w:space="2"/>
      </w:pBdr>
      <w:spacing w:after="100" w:before="260"/>
      <w:outlineLvl w:val="0"/>
    </w:pPr>
    <w:rPr>
      <w:rFonts w:ascii="Arial" w:cs="Arial" w:eastAsia="Arial" w:hAnsi="Arial"/>
      <w:b/>
      <w:bCs/>
      <w:color w:val="1B3A6B"/>
      <w:sz w:val="28"/>
      <w:szCs w:val="28"/>
    </w:rPr>
  </w:style>
  <w:style w:type="paragraph" w:styleId="Heading2">
    <w:name w:val="Heading 2"/>
    <w:basedOn w:val="Normal"/>
    <w:next w:val="Normal"/>
    <w:pPr>
      <w:spacing w:after="80" w:before="180"/>
      <w:outlineLvl w:val="1"/>
    </w:pPr>
    <w:rPr>
      <w:rFonts w:ascii="Arial" w:cs="Arial" w:eastAsia="Arial" w:hAnsi="Arial"/>
      <w:b/>
      <w:bCs/>
      <w:color w:val="2E75B6"/>
      <w:sz w:val="24"/>
      <w:szCs w:val="24"/>
    </w:rPr>
  </w:style>
  <w:style w:type="paragraph" w:styleId="Heading3">
    <w:name w:val="Heading 3"/>
    <w:basedOn w:val="Normal"/>
    <w:next w:val="Normal"/>
    <w:pPr>
      <w:spacing w:after="60" w:before="140"/>
      <w:outlineLvl w:val="2"/>
    </w:pPr>
    <w:rPr>
      <w:rFonts w:ascii="Arial" w:cs="Arial" w:eastAsia="Arial" w:hAnsi="Arial"/>
      <w:b/>
      <w:bCs/>
      <w:color w:val="007070"/>
      <w:sz w:val="21"/>
      <w:szCs w:val="21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2026-06-15T06:59:49.963Z</dcterms:created>
  <dcterms:modified xsi:type="dcterms:W3CDTF">2026-06-15T06:59:49.963Z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