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Encryption Design Document</w:t>
      </w:r>
    </w:p>
    <w:p>
      <w:pPr>
        <w:spacing w:after="60"/>
        <w:jc w:val="center"/>
      </w:pPr>
      <w:r>
        <w:rPr>
          <w:rFonts w:ascii="Arial" w:cs="Arial" w:eastAsia="Arial" w:hAnsi="Arial"/>
          <w:color w:val="2E75B6"/>
          <w:sz w:val="26"/>
          <w:szCs w:val="26"/>
        </w:rPr>
        <w:t xml:space="preserve">Cryptography &amp; Key Management — Acme Retail Platform</w:t>
      </w:r>
    </w:p>
    <w:p>
      <w:pPr>
        <w:spacing w:after="180"/>
        <w:jc w:val="center"/>
      </w:pPr>
      <w:r>
        <w:rPr>
          <w:rFonts w:ascii="Arial" w:cs="Arial" w:eastAsia="Arial" w:hAnsi="Arial"/>
          <w:color w:val="888888"/>
          <w:sz w:val="18"/>
          <w:szCs w:val="18"/>
        </w:rPr>
        <w:t xml:space="preserve">v1.2  |  May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 &amp; Scope</w:t>
      </w:r>
    </w:p>
    <w:p>
      <w:pPr>
        <w:pBdr>
          <w:bottom w:val="single" w:color="2E75B6" w:sz="4" w:space="1"/>
        </w:pBdr>
        <w:spacing w:after="100"/>
      </w:pPr>
    </w:p>
    <w:p>
      <w:pPr>
        <w:spacing w:after="80"/>
      </w:pPr>
      <w:r>
        <w:rPr>
          <w:rFonts w:ascii="Arial" w:cs="Arial" w:eastAsia="Arial" w:hAnsi="Arial"/>
          <w:color w:val="404040"/>
          <w:sz w:val="20"/>
          <w:szCs w:val="20"/>
        </w:rPr>
        <w:t xml:space="preserve">This Encryption Design Document defines the encryption architecture for the Acme Retail Platform, covering encryption at rest, encryption in transit, key management, and certificate lifecycle. It establishes minimum cryptographic standards and the controls protecting data confidentiality and integrity.</w:t>
      </w:r>
    </w:p>
    <w:p>
      <w:pPr>
        <w:spacing w:after="80"/>
      </w:pPr>
      <w:r>
        <w:rPr>
          <w:rFonts w:ascii="Arial" w:cs="Arial" w:eastAsia="Arial" w:hAnsi="Arial"/>
          <w:color w:val="404040"/>
          <w:sz w:val="20"/>
          <w:szCs w:val="20"/>
        </w:rPr>
        <w:t xml:space="preserve">Deviations require written approval from the Security Owner (Mei Chen) and must be time-bounded with a remediation plan.</w:t>
      </w:r>
    </w:p>
    <w:p>
      <w:pPr>
        <w:spacing w:after="80"/>
      </w:pPr>
      <w:r>
        <w:t xml:space="preserve"/>
      </w:r>
    </w:p>
    <w:p>
      <w:pPr>
        <w:pStyle w:val="Heading1"/>
        <w:spacing w:after="100" w:before="260"/>
      </w:pPr>
      <w:r>
        <w:rPr>
          <w:rFonts w:ascii="Arial" w:cs="Arial" w:eastAsia="Arial" w:hAnsi="Arial"/>
          <w:b/>
          <w:bCs/>
          <w:color w:val="1B3A6B"/>
          <w:sz w:val="28"/>
          <w:szCs w:val="28"/>
        </w:rPr>
        <w:t xml:space="preserve">2. Cryptographic Standards</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Standard</w:t>
            </w:r>
          </w:p>
        </w:tc>
        <w:tc>
          <w:tcPr>
            <w:tcW w:type="dxa" w:w="7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Specification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Symmetric Encryption</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AES-256-GCM. Used for all AWS KMS encryption at rest. No AES-128 or DES permitted.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Asymmetric / TLS Certificates</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RSA-4096 (ACM). EC P-256 acceptable for TLS session key exchange. No RSA &lt; 2048.</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TLS In-Transit</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TLS 1.2 minimum everywhere. TLS 1.3 preferred. No TLS 1.0, 1.1, or SSL. Cipher suites: ECDHE+AESGCM preferred; no RC4, 3DES, or CBC-mode.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Hashing</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SHA-256 minimum. No MD5 or SHA-1 for any security function.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PROHIBITED</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DES, 3DES, RC4, RC2, MD5 (security), SHA-1 (security), export-grade ciphers, any cipher below 128-bit effective strength.</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3. Encryption at Rest</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Service / Data Store</w:t>
            </w:r>
          </w:p>
        </w:tc>
        <w:tc>
          <w:tcPr>
            <w:tcW w:type="dxa" w:w="2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Key Type</w:t>
            </w:r>
          </w:p>
        </w:tc>
        <w:tc>
          <w:tcPr>
            <w:tcW w:type="dxa" w:w="4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Configuration &amp; Notes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RDS Aurora MySQL (orders, customers, catalog)</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KMS CMK
alias: acmeretail-prod-rds</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Customer-managed CMK. Annual automatic rotation. Key policy: acmeretail-ec2-app-role, acmeretail-db-admin-role, acmeretail-terraform-role only. 7-day deletion window + Security Lead approval required.</w:t>
            </w:r>
          </w:p>
        </w:tc>
      </w:tr>
      <w:tr>
        <w:tc>
          <w:tcPr>
            <w:tcW w:type="dxa" w:w="2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S3 — RESTRICTED buckets (order-exports, customer-media, backup)</w:t>
            </w:r>
          </w:p>
        </w:tc>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KMS CMK
alias: acmeretail-prod-s3</w:t>
            </w:r>
          </w:p>
        </w:tc>
        <w:tc>
          <w:tcPr>
            <w:tcW w:type="dxa" w:w="4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SSE-KMS with bucket key enabled (~99% API call reduction). Bucket policy: aws:SecureTransport denies HTTP. Default encryption enforced.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S3 — Internal buckets (assets, logs, codedeploy)</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SSE-S3 (AES-256)</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Assets: SSE-S3 (public-read via CloudFront OAC). Log buckets: SSE-S3. CodeDeploy artefacts: SSE-KMS (acmeretail-prod-deploy key).</w:t>
            </w:r>
          </w:p>
        </w:tc>
      </w:tr>
      <w:tr>
        <w:tc>
          <w:tcPr>
            <w:tcW w:type="dxa" w:w="2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Secrets Manager</w:t>
            </w:r>
          </w:p>
        </w:tc>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KMS CMK
alias: acmeretail-prod-secrets</w:t>
            </w:r>
          </w:p>
        </w:tc>
        <w:tc>
          <w:tcPr>
            <w:tcW w:type="dxa" w:w="4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Dedicated CMK for secrets. Rotation Lambda uses kms:GenerateDataKey. Key access: Secrets Manager service principal + acmeretail-ec2-app-role.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EBS Volumes (EC2 ASG instances)</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AWS managed key
aws/ebs</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Default EBS encryption enabled account-wide. All volumes encrypted at creation. Launch Template enforces encrypted:true. No unencrypted snapshots.</w:t>
            </w:r>
          </w:p>
        </w:tc>
      </w:tr>
      <w:tr>
        <w:tc>
          <w:tcPr>
            <w:tcW w:type="dxa" w:w="2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ElastiCache Redis</w:t>
            </w:r>
          </w:p>
        </w:tc>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AWS managed key
aws/elasticache</w:t>
            </w:r>
          </w:p>
        </w:tc>
        <w:tc>
          <w:tcPr>
            <w:tcW w:type="dxa" w:w="4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At-rest encryption on cluster creation. AWS managed key acceptable (cache data: session tokens and serialised catalog — no direct PII).</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Amazon OpenSearch</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AWS managed key
aws/es</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At-rest + node-to-node encryption enabled. AWS managed key: search index data classified Internal; CMK not required per data classification policy.</w:t>
            </w:r>
          </w:p>
        </w:tc>
      </w:tr>
      <w:tr>
        <w:tc>
          <w:tcPr>
            <w:tcW w:type="dxa" w:w="2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CloudTrail Logs (S3)</w:t>
            </w:r>
          </w:p>
        </w:tc>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KMS CMK
alias: acmeretail-prod-cloudtrail</w:t>
            </w:r>
          </w:p>
        </w:tc>
        <w:tc>
          <w:tcPr>
            <w:tcW w:type="dxa" w:w="4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Dedicated CMK ensures log integrity independent of data keys. Log file validation (SHA-256 HMAC) enabled. No engineer kms:Decrypt on this key.</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4. Encryption in Transit</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c>
          <w:tcPr>
            <w:tcW w:type="dxa" w:w="2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Connection</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Protocol</w:t>
            </w:r>
          </w:p>
        </w:tc>
        <w:tc>
          <w:tcPr>
            <w:tcW w:type="dxa" w:w="5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Configuration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Internet → CloudFront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TLS 1.2 / 1.3</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Security policy: TLSv1.2_2021. HTTP → HTTPS redirect at edge. Cipher suites: ECDHE-RSA-AES128/256-GCM-SHA256/384, TLS_AES_128/256_GCM_SHA256/384.</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CloudFront → ALB (Origin)</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TLS 1.2</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HTTPS origin only. ACM cert on ALB. CloudFront validates origin certificate. Origin protocol policy: HTTPS only.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ALB → EC2 / ECS targets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HTTPS / TLS 1.2</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Target group protocol: HTTPS. App listens on 443. Internal ACM cert. No HTTP listener on targets.</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 → RDS (via RDS Proxy)</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TLS 1.2 (required)</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RDS Proxy: REQUIRE_TLS enforced. Aurora: require_secure_transport=ON (MySQL parameter). Apps use ssl_ca certificate bundle.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 → ElastiCache Redis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TLS 1.2</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In-transit encryption enabled on cluster. Redis client configured ssl=True. TLS-only endpoint.</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 → OpenSearch</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HTTPS / TLS 1.2</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VPC endpoint only. No HTTP endpoint enabled on domain.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 → S3 (VPC Endpoint)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HTTPS</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Bucket policies: Condition aws:SecureTransport:false → Deny. S3 Gateway Endpoint: no internet traversal.</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 → External APIs (Stripe, Twilio)</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TLS 1.2 min.</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App enforces certificate validation (no ssl_verify=False). Outbound via NAT Gateway. External API TLS versions validated annually.</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5. Key Management &amp; Certificate Lifecycle</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Item</w:t>
            </w:r>
          </w:p>
        </w:tc>
        <w:tc>
          <w:tcPr>
            <w:tcW w:type="dxa" w:w="6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Policy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KMS CMK Rotation</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Annual automatic rotation enabled on all CMKs. AWS rotates key material; existing ciphertext re-encrypted on next use.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CMK Access Reviews</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Key policies reviewed quarterly alongside IAM access review. Unused principals removed.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 Certificate Renewal</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 auto-renews certificates 60 days before expiry when DNS validation CNAME present in Route 53. CloudWatch alarm at 45 days remaining. MSP verifies monthly.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Secrets Rotation</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RDS master password: 30-day auto-rotation (Secrets Manager Lambda). Third-party API keys: manual rotation on vendor key rotation events, tracked in Jira.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KMS Key Deletion</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7-day minimum window. Requires: Security Owner written approval, identification of all encrypted data using key, crypto-shredding confirmation, disposal certificate.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Prohibited Practices</w:t>
            </w:r>
          </w:p>
        </w:tc>
        <w:tc>
          <w:tcPr>
            <w:tcW w:type="dxa" w:w="6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No keys in code, config files, or environment variables. No plaintext key transmission. No self-signed certs in production. No weak cipher exceptions without Security Owner approval.</w:t>
            </w:r>
          </w:p>
        </w:tc>
      </w:tr>
    </w:tbl>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2026-06-15T06:59:49.914Z</dcterms:created>
  <dcterms:modified xsi:type="dcterms:W3CDTF">2026-06-15T06:59:49.914Z</dcterms:modified>
</cp:coreProperties>
</file>

<file path=docProps/custom.xml><?xml version="1.0" encoding="utf-8"?>
<Properties xmlns="http://schemas.openxmlformats.org/officeDocument/2006/custom-properties" xmlns:vt="http://schemas.openxmlformats.org/officeDocument/2006/docPropsVTypes"/>
</file>