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IAM Design Document</w:t>
      </w:r>
    </w:p>
    <w:p>
      <w:pPr>
        <w:spacing w:after="60"/>
        <w:jc w:val="center"/>
      </w:pPr>
      <w:r>
        <w:rPr>
          <w:rFonts w:ascii="Arial" w:cs="Arial" w:eastAsia="Arial" w:hAnsi="Arial"/>
          <w:color w:val="2E75B6"/>
          <w:sz w:val="26"/>
          <w:szCs w:val="26"/>
        </w:rPr>
        <w:t xml:space="preserve">Identity &amp; Access Management Architecture — Acme Retail Platform</w:t>
      </w:r>
    </w:p>
    <w:p>
      <w:pPr>
        <w:spacing w:after="1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v2.1  |  April 2025  |  INTERNAL – CONFIDENTIAL</w:t>
      </w:r>
    </w:p>
    <w:tbl>
      <w:tblPr>
        <w:tblW w:type="dxa" w:w="11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3000"/>
        <w:gridCol w:w="2700"/>
        <w:gridCol w:w="2800"/>
      </w:tblGrid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Customer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 Retail Inc.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Operations Team (MSP)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Business Owner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Linda Park – VP Digital Commerce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Technical Owner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James Okonkwo – Platform Lead</w:t>
            </w:r>
          </w:p>
        </w:tc>
      </w:tr>
      <w:tr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MSP Lead</w:t>
            </w:r>
          </w:p>
        </w:tc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Sarah Mitchell – Account Lead</w:t>
            </w:r>
          </w:p>
        </w:tc>
        <w:tc>
          <w:tcPr>
            <w:tcW w:type="dxa" w:w="27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Internal – Confidential</w:t>
            </w:r>
          </w:p>
        </w:tc>
      </w:tr>
    </w:tbl>
    <w:p>
      <w:pPr>
        <w:spacing w:after="1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Purpose &amp; Scope</w:t>
      </w:r>
    </w:p>
    <w:p>
      <w:pPr>
        <w:pBdr>
          <w:bottom w:val="single" w:color="2E75B6" w:sz="4" w:space="1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This IAM Design Document defines the identity and access management architecture for the Acme Retail Platform. It covers human access (engineers and MSP operators), machine/service access (EC2, ECS task roles, Lambda execution roles), and governance controls applied to all IAM entities.</w:t>
      </w:r>
    </w:p>
    <w:p>
      <w:p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Changes to IAM architecture require approval from the Technical Owner (James Okonkwo) and Security Owner (Mei Chen). Document updated within 10 business days of any IAM change.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Design Principles</w:t>
      </w:r>
    </w:p>
    <w:p>
      <w:pPr>
        <w:pBdr>
          <w:bottom w:val="single" w:color="2E75B6" w:sz="4" w:space="1"/>
        </w:pBd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Least Privilege: every IAM entity receives only permissions for its specific function. Wildcard (*) resource ARNs prohibited except for explicitly approved exceptions.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Long-Lived Human Credentials: all human access via IAM Identity Center (SSO) with session-limited credentials. No direct IAM user accounts for humans.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No Standing Elevated Access: MSP elevated roles and break-glass access via JIT with session maximums.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Separation of Duties: no single principal can both approve and execute a production change.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Full Auditability: all API calls logged to CloudTrail. Access Analyzer continuously monitors. Quarterly access reviews.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SCPs: organisation-level guardrails prevent disabling CloudTrail, GuardDuty, or Security Hub in any account.</w:t>
      </w:r>
    </w:p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Human Access — IAM Identity Center</w:t>
      </w:r>
    </w:p>
    <w:p>
      <w:pPr>
        <w:pBdr>
          <w:bottom w:val="single" w:color="2E75B6" w:sz="4" w:space="1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Authentication path: Okta (IdP) → IAM Identity Center → IAM Role (SAML 2.0). All sessions max 8 hours. MFA enforced at Okta. IMDSv2 enforced on all EC2 instances.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00"/>
        <w:gridCol w:w="1600"/>
        <w:gridCol w:w="3200"/>
      </w:tblGrid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 Set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IAM Role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Session Duration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Principals &amp; Constraints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AcmeRetailReadOnly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acmeretail-read-only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 hours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All Cloud Engineering + all MSP engineers. Default standing access. No write permissions.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AcmeRetailOperator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acmeretail-operator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 (JIT)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MSP on-call engineers + Acme Retail SREs. JIT assumption requires active PagerDuty incident or Jira change ticket.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AcmeRetailDeployer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acmeretail-deployer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 (JIT)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Named deploy engineer per CAB-approved change. CI/CD pipeline uses separate role (§4).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AcmeRetailDBAdmin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acmeretail-db-admin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 hours (JIT)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Ray Tanaka (DBA) only. Co-session with MSP required for prod DB access.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AcmeRetailSecurityAdmin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acmeretail-security-admin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hours (JIT)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Mei Chen (Security Lead) only. Security incident investigations only.</w:t>
            </w:r>
          </w:p>
        </w:tc>
      </w:tr>
      <w:tr>
        <w:tc>
          <w:tcPr>
            <w:tcW w:type="dxa" w:w="2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Break-Glass Admin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acmeretail-break-glass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 hour max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Emergency only. 1Password shared vault. Triggers PagerDuty alert to CTO + MSP Director within 5 min. Rotated after every use.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EC2 Instance Profile</w:t>
      </w:r>
    </w:p>
    <w:p>
      <w:pPr>
        <w:pBdr>
          <w:bottom w:val="single" w:color="2E75B6" w:sz="4" w:space="1"/>
        </w:pBdr>
        <w:spacing w:after="100"/>
      </w:pPr>
    </w:p>
    <w:p>
      <w:pPr>
        <w:spacing w:after="80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EC2 ASG instances use role acmeretail-ec2-app-role via instance profile. Credentials via IMDSv2 only (IMDSv1 disabled account-wide). Key permissions: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0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Permission Category</w:t>
            </w:r>
          </w:p>
        </w:tc>
        <w:tc>
          <w:tcPr>
            <w:tcW w:type="dxa" w:w="6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Specific Permissions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Secrets Manager</w:t>
            </w:r>
          </w:p>
        </w:tc>
        <w:tc>
          <w:tcPr>
            <w:tcW w:type="dxa" w:w="6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secretsmanager:GetSecretValue on arn:aws:secretsmanager:us-east-1:123456789012:secret:acmeretail/prod/*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SSM Parameter Store</w:t>
            </w:r>
          </w:p>
        </w:tc>
        <w:tc>
          <w:tcPr>
            <w:tcW w:type="dxa" w:w="6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ssm:GetParameter, ssm:GetParametersByPath on /acmeretail/prod/*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S3</w:t>
            </w:r>
          </w:p>
        </w:tc>
        <w:tc>
          <w:tcPr>
            <w:tcW w:type="dxa" w:w="6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s3:GetObject on acmeretail-prod-assets/*  |  s3:PutObject on acmeretail-prod-order-exports/*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CloudWatch</w:t>
            </w:r>
          </w:p>
        </w:tc>
        <w:tc>
          <w:tcPr>
            <w:tcW w:type="dxa" w:w="6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cloudwatch:PutMetricData, logs:PutLogEvents, logs:CreateLogStream, logs:DescribeLogGroups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SQS / SNS</w:t>
            </w:r>
          </w:p>
        </w:tc>
        <w:tc>
          <w:tcPr>
            <w:tcW w:type="dxa" w:w="6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sqs:SendMessage, ReceiveMessage, DeleteMessage on order queues  |  sns:Publish on order-events topic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KMS</w:t>
            </w:r>
          </w:p>
        </w:tc>
        <w:tc>
          <w:tcPr>
            <w:tcW w:type="dxa" w:w="6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kms:Decrypt, kms:GenerateDataKey on acmeretail-prod-app key only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C0006"/>
                <w:sz w:val="18"/>
                <w:szCs w:val="18"/>
              </w:rPr>
              <w:t xml:space="preserve">EXPLICIT DENY</w:t>
            </w:r>
          </w:p>
        </w:tc>
        <w:tc>
          <w:tcPr>
            <w:tcW w:type="dxa" w:w="6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iam:*, s3:DeleteBucket, s3:DeleteObject (backup buckets), cloudtrail:StopLogging, guardduty:*, rds:Delete*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ECS Task Roles (Per-Service)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2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ECS Service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Task Role Permissions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order-service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Proxy connect (IAM auth), SQS SendMessage/ReceiveMessage (orders FIFO queue), SNS Publish (events topic), Secrets Manager (order-service secrets), CloudWatch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search-service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OpenSearch HTTPS (VPC endpoint), S3 GetObject (product assets), CloudWatch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notification-service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SES SendEmail, SNS Subscribe (notifications topic), Secrets Manager (Twilio API key), CloudWatch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admin-api-service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Proxy connect (read-write, admin schema only), S3 GetObject/PutObject (admin exports), CloudWatch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returns-service</w:t>
            </w:r>
          </w:p>
        </w:tc>
        <w:tc>
          <w:tcPr>
            <w:tcW w:type="dxa" w:w="7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Proxy connect (returns schema), Secrets Manager (Stripe refund key), SQS SendMessage (notifications), CloudWatch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CI/CD &amp; Terraform IAM</w:t>
      </w:r>
    </w:p>
    <w:p>
      <w:pPr>
        <w:pBdr>
          <w:bottom w:val="single" w:color="2E75B6" w:sz="4" w:space="1"/>
        </w:pBdr>
        <w:spacing w:after="1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00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GitHub Actions OIDC Role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acmeretail-github-actions-role. No long-lived keys. Permissions: ECR GetAuthorizationToken, ecr:BatchCheck/PutImage/InitiateLayer/UploadLayer/CompleteLayer.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CodeDeploy Role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acmeretail-codedeploy-role. EC2 describe, ECS UpdateService, ELB describe/modify targets, S3 GetObject (codedeploy bucket only). Cannot access data buckets.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Terraform Cloud OIDC Role</w:t>
            </w:r>
          </w:p>
        </w:tc>
        <w:tc>
          <w:tcPr>
            <w:tcW w:type="dxa" w:w="7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acmeretail-terraform-role. Full infra permissions scoped to prod account. Terraform Cloud OIDC (no long-lived keys). Requires second approval in Terraform Cloud for apply.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00" w:before="2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7. IAM Governance</w:t>
      </w:r>
    </w:p>
    <w:p>
      <w:pPr>
        <w:pBdr>
          <w:bottom w:val="single" w:color="2E75B6" w:sz="4" w:space="1"/>
        </w:pBdr>
        <w:spacing w:after="1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IAM Access Analyzer: enabled in prod account. Findings reviewed weekly by Security Lead. External access findings treated as P2 security incidents.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Quarterly access review: MSP generates credential report and IAM summary. Unused roles removed. Report shared with Customer Security Lead.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Permission Boundary (acmeretail-prod-boundary): applied to all developer-created roles. Prevents: iam:CreateRole, iam:AttachRolePolicy; prevents disabling CloudTrail, GuardDuty, Config.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SCPs (Org level): block non-approved regions, prevent disabling security controls, prevent root account access key creation.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Automated IAM alerts: CloudWatch Events → SNS → PagerDuty for: CreateUser, AttachRolePolicy, any IAM action from break-glass account.</w:t>
      </w:r>
    </w:p>
    <w:sectPr>
      <w:pgSz w:w="12240" w:h="15840" w:orient="portrait"/>
      <w:pgMar w:top="1080" w:right="1000" w:bottom="108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2E75B6" w:sz="4" w:space="2"/>
      </w:pBdr>
      <w:spacing w:after="100" w:before="2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pPr>
      <w:spacing w:after="8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pPr>
      <w:spacing w:after="60" w:before="140"/>
      <w:outlineLvl w:val="2"/>
    </w:pPr>
    <w:rPr>
      <w:rFonts w:ascii="Arial" w:cs="Arial" w:eastAsia="Arial" w:hAnsi="Arial"/>
      <w:b/>
      <w:bCs/>
      <w:color w:val="007070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2026-06-15T06:59:49.871Z</dcterms:created>
  <dcterms:modified xsi:type="dcterms:W3CDTF">2026-06-15T06:59:49.871Z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