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B3A6B"/>
          <w:sz w:val="52"/>
          <w:szCs w:val="52"/>
        </w:rPr>
        <w:t xml:space="preserve">Customer Access Control Requirements</w:t>
      </w:r>
    </w:p>
    <w:p>
      <w:pPr>
        <w:spacing w:after="60"/>
        <w:jc w:val="center"/>
      </w:pPr>
      <w:r>
        <w:rPr>
          <w:rFonts w:ascii="Arial" w:cs="Arial" w:eastAsia="Arial" w:hAnsi="Arial"/>
          <w:color w:val="2E75B6"/>
          <w:sz w:val="26"/>
          <w:szCs w:val="26"/>
        </w:rPr>
        <w:t xml:space="preserve">MSP Access Governance — Acme Retail Platform</w:t>
      </w:r>
    </w:p>
    <w:p>
      <w:pPr>
        <w:spacing w:after="180"/>
        <w:jc w:val="center"/>
      </w:pPr>
      <w:r>
        <w:rPr>
          <w:rFonts w:ascii="Arial" w:cs="Arial" w:eastAsia="Arial" w:hAnsi="Arial"/>
          <w:color w:val="888888"/>
          <w:sz w:val="18"/>
          <w:szCs w:val="18"/>
        </w:rPr>
        <w:t xml:space="preserve">v2.0  |  March 2025  |  INTERNAL – CONFIDENTIAL</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700"/>
        <w:gridCol w:w="2800"/>
      </w:tblGrid>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Customer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Prepared by</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Cloud Operations Team (MSP)</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Business Owner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Linda Park – VP Digital Commerce</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Technical Owner</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James Okonkwo – Platform Lead</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MSP Lead</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Sarah Mitchell – Account Lead</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Classification</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Internal – Confidential</w:t>
            </w:r>
          </w:p>
        </w:tc>
      </w:tr>
    </w:tbl>
    <w:p>
      <w:pPr>
        <w:spacing w:after="180"/>
      </w:pPr>
      <w:r>
        <w:t xml:space="preserve"/>
      </w:r>
    </w:p>
    <w:p>
      <w:pPr>
        <w:pStyle w:val="Heading1"/>
        <w:spacing w:after="100" w:before="260"/>
      </w:pPr>
      <w:r>
        <w:rPr>
          <w:rFonts w:ascii="Arial" w:cs="Arial" w:eastAsia="Arial" w:hAnsi="Arial"/>
          <w:b/>
          <w:bCs/>
          <w:color w:val="1B3A6B"/>
          <w:sz w:val="28"/>
          <w:szCs w:val="28"/>
        </w:rPr>
        <w:t xml:space="preserve">1. Purpose &amp; Scope</w:t>
      </w:r>
    </w:p>
    <w:p>
      <w:pPr>
        <w:pBdr>
          <w:bottom w:val="single" w:color="2E75B6" w:sz="4" w:space="1"/>
        </w:pBdr>
        <w:spacing w:after="100"/>
      </w:pPr>
    </w:p>
    <w:p>
      <w:pPr>
        <w:spacing w:after="80"/>
      </w:pPr>
      <w:r>
        <w:rPr>
          <w:rFonts w:ascii="Arial" w:cs="Arial" w:eastAsia="Arial" w:hAnsi="Arial"/>
          <w:color w:val="404040"/>
          <w:sz w:val="20"/>
          <w:szCs w:val="20"/>
        </w:rPr>
        <w:t xml:space="preserve">This document defines the access control requirements governing how Cloud Operations Team (MSP) personnel access the Acme Retail AWS environment. It applies to all MSP engineers, contractors, and tooling interacting with Acme Retail AWS accounts, source code, operational systems, or data.</w:t>
      </w:r>
    </w:p>
    <w:p>
      <w:pPr>
        <w:spacing w:after="80"/>
      </w:pPr>
      <w:r>
        <w:rPr>
          <w:rFonts w:ascii="Arial" w:cs="Arial" w:eastAsia="Arial" w:hAnsi="Arial"/>
          <w:color w:val="404040"/>
          <w:sz w:val="20"/>
          <w:szCs w:val="20"/>
        </w:rPr>
        <w:t xml:space="preserve">All MSP personnel must acknowledge these requirements before any access is granted. Requirements are reviewed annually and on any material change to the environment or MSP team composition.</w:t>
      </w:r>
    </w:p>
    <w:p>
      <w:pPr>
        <w:spacing w:after="80"/>
      </w:pPr>
      <w:r>
        <w:t xml:space="preserve"/>
      </w:r>
    </w:p>
    <w:p>
      <w:pPr>
        <w:pStyle w:val="Heading1"/>
        <w:spacing w:after="100" w:before="260"/>
      </w:pPr>
      <w:r>
        <w:rPr>
          <w:rFonts w:ascii="Arial" w:cs="Arial" w:eastAsia="Arial" w:hAnsi="Arial"/>
          <w:b/>
          <w:bCs/>
          <w:color w:val="1B3A6B"/>
          <w:sz w:val="28"/>
          <w:szCs w:val="28"/>
        </w:rPr>
        <w:t xml:space="preserve">2. Access Principles</w:t>
      </w:r>
    </w:p>
    <w:p>
      <w:pPr>
        <w:pBdr>
          <w:bottom w:val="single" w:color="2E75B6" w:sz="4" w:space="1"/>
        </w:pBdr>
        <w:spacing w:after="100"/>
      </w:pPr>
    </w:p>
    <w:p>
      <w:pPr>
        <w:pStyle w:val="ListParagraph"/>
        <w:numPr>
          <w:ilvl w:val="0"/>
          <w:numId w:val="2"/>
        </w:numPr>
        <w:spacing w:after="60"/>
      </w:pPr>
      <w:r>
        <w:rPr>
          <w:rFonts w:ascii="Arial" w:cs="Arial" w:eastAsia="Arial" w:hAnsi="Arial"/>
          <w:sz w:val="20"/>
          <w:szCs w:val="20"/>
        </w:rPr>
        <w:t xml:space="preserve">Least Privilege: MSP personnel receive only minimum permissions for their role. No standing write access to production resources.</w:t>
      </w:r>
    </w:p>
    <w:p>
      <w:pPr>
        <w:pStyle w:val="ListParagraph"/>
        <w:numPr>
          <w:ilvl w:val="0"/>
          <w:numId w:val="2"/>
        </w:numPr>
        <w:spacing w:after="60"/>
      </w:pPr>
      <w:r>
        <w:rPr>
          <w:rFonts w:ascii="Arial" w:cs="Arial" w:eastAsia="Arial" w:hAnsi="Arial"/>
          <w:sz w:val="20"/>
          <w:szCs w:val="20"/>
        </w:rPr>
        <w:t xml:space="preserve">Just-in-Time (JIT): Elevated permissions (RDS access, EC2 terminate, etc.) are time-limited (max 4-hour session) and require a linked Jira incident or change ticket.</w:t>
      </w:r>
    </w:p>
    <w:p>
      <w:pPr>
        <w:pStyle w:val="ListParagraph"/>
        <w:numPr>
          <w:ilvl w:val="0"/>
          <w:numId w:val="2"/>
        </w:numPr>
        <w:spacing w:after="60"/>
      </w:pPr>
      <w:r>
        <w:rPr>
          <w:rFonts w:ascii="Arial" w:cs="Arial" w:eastAsia="Arial" w:hAnsi="Arial"/>
          <w:sz w:val="20"/>
          <w:szCs w:val="20"/>
        </w:rPr>
        <w:t xml:space="preserve">Zero Trust: All access is authenticated and authorised regardless of network location. No implicit trust from IP or VPN.</w:t>
      </w:r>
    </w:p>
    <w:p>
      <w:pPr>
        <w:pStyle w:val="ListParagraph"/>
        <w:numPr>
          <w:ilvl w:val="0"/>
          <w:numId w:val="2"/>
        </w:numPr>
        <w:spacing w:after="60"/>
      </w:pPr>
      <w:r>
        <w:rPr>
          <w:rFonts w:ascii="Arial" w:cs="Arial" w:eastAsia="Arial" w:hAnsi="Arial"/>
          <w:sz w:val="20"/>
          <w:szCs w:val="20"/>
        </w:rPr>
        <w:t xml:space="preserve">Separation of Duties: No single MSP engineer can both approve and execute a production change. CAB approval or second named MSP lead required.</w:t>
      </w:r>
    </w:p>
    <w:p>
      <w:pPr>
        <w:pStyle w:val="ListParagraph"/>
        <w:numPr>
          <w:ilvl w:val="0"/>
          <w:numId w:val="2"/>
        </w:numPr>
        <w:spacing w:after="60"/>
      </w:pPr>
      <w:r>
        <w:rPr>
          <w:rFonts w:ascii="Arial" w:cs="Arial" w:eastAsia="Arial" w:hAnsi="Arial"/>
          <w:sz w:val="20"/>
          <w:szCs w:val="20"/>
        </w:rPr>
        <w:t xml:space="preserve">Full Auditability: All access logged to CloudTrail and MSP SIEM. Logs available to Customer within 24 hours on request.</w:t>
      </w:r>
    </w:p>
    <w:p>
      <w:pPr>
        <w:spacing w:after="80"/>
      </w:pPr>
      <w:r>
        <w:t xml:space="preserve"/>
      </w:r>
    </w:p>
    <w:p>
      <w:pPr>
        <w:pStyle w:val="Heading1"/>
        <w:spacing w:after="100" w:before="260"/>
      </w:pPr>
      <w:r>
        <w:rPr>
          <w:rFonts w:ascii="Arial" w:cs="Arial" w:eastAsia="Arial" w:hAnsi="Arial"/>
          <w:b/>
          <w:bCs/>
          <w:color w:val="1B3A6B"/>
          <w:sz w:val="28"/>
          <w:szCs w:val="28"/>
        </w:rPr>
        <w:t xml:space="preserve">3. MSP IAM Role Structure</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200"/>
      </w:tblGrid>
      <w:tr>
        <w:tc>
          <w:tcPr>
            <w:tcW w:type="dxa" w:w="2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IAM Role</w:t>
            </w:r>
          </w:p>
        </w:tc>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MSP Principals</w:t>
            </w:r>
          </w:p>
        </w:tc>
        <w:tc>
          <w:tcPr>
            <w:tcW w:type="dxa" w:w="2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Permissions</w:t>
            </w:r>
          </w:p>
        </w:tc>
        <w:tc>
          <w:tcPr>
            <w:tcW w:type="dxa" w:w="3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Constraints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AcmeRetail-MSP-ReadOnly</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MSP engineers</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Read all prod resources, CloudWatch, CloudTrail</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Default standing access. No write. Used for monitoring and investigation.</w:t>
            </w:r>
          </w:p>
        </w:tc>
      </w:tr>
      <w:tr>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AcmeRetail-MSP-Operator</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On-call engineers</w:t>
            </w:r>
          </w:p>
        </w:tc>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EC2/ECS start-stop, SSM Session, CW alarm acknowledge</w:t>
            </w:r>
          </w:p>
        </w:tc>
        <w:tc>
          <w:tcPr>
            <w:tcW w:type="dxa" w:w="3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JIT only. Requires active PagerDuty incident or Jira change. Max 4-hour session. Logged to MSP SIEM.</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AcmeRetail-MSP-SecurityOps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Security Engineer only</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GuardDuty, Security Hub, WAF read + limited write, Inspector</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Security investigations only. Session recorded. Alert sent to Customer Security Lead on assumption.</w:t>
            </w:r>
          </w:p>
        </w:tc>
      </w:tr>
      <w:tr>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AcmeRetail-MSP-Deployer</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Named deploy engineer</w:t>
            </w:r>
          </w:p>
        </w:tc>
        <w:tc>
          <w:tcPr>
            <w:tcW w:type="dxa" w:w="2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CodePipeline trigger, ECS update-service, ECR read</w:t>
            </w:r>
          </w:p>
        </w:tc>
        <w:tc>
          <w:tcPr>
            <w:tcW w:type="dxa" w:w="3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Approved change windows only. CAB-approved Jira change ticket required. No access to customer data.</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AcmeRetail-MSP-DBReadOnly</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 named MSP DB engineer</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RDS Proxy connect, slow query log read</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Requires Customer DBA (Ray Tanaka) on co-session bridge. 2-hour session max. All queries logged.</w:t>
            </w:r>
          </w:p>
        </w:tc>
      </w:tr>
      <w:tr>
        <w:tc>
          <w:tcPr>
            <w:tcW w:type="dxa" w:w="22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bCs/>
                <w:color w:val="9C0006"/>
                <w:sz w:val="18"/>
                <w:szCs w:val="18"/>
              </w:rPr>
              <w:t xml:space="preserve">BreakGlass (emergency)</w:t>
            </w:r>
          </w:p>
        </w:tc>
        <w:tc>
          <w:tcPr>
            <w:tcW w:type="dxa" w:w="18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Emergency only</w:t>
            </w:r>
          </w:p>
        </w:tc>
        <w:tc>
          <w:tcPr>
            <w:tcW w:type="dxa" w:w="22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Full admin (emergency only)</w:t>
            </w:r>
          </w:p>
        </w:tc>
        <w:tc>
          <w:tcPr>
            <w:tcW w:type="dxa" w:w="32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1Password shared vault. Rotated after every use. Triggers PagerDuty alert to Customer CTO + MSP Director within 5 min.</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4. Authentication Requirements</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Requirement</w:t>
            </w:r>
          </w:p>
        </w:tc>
        <w:tc>
          <w:tcPr>
            <w:tcW w:type="dxa" w:w="7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Specification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Identity Provider</w:t>
            </w:r>
          </w:p>
        </w:tc>
        <w:tc>
          <w:tcPr>
            <w:tcW w:type="dxa" w:w="7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MSP human access federated from MSP Okta via IAM Identity Center (SAML 2.0). No direct IAM user accounts. Max session: 8 hours.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Multi-Factor Authentication</w:t>
            </w:r>
          </w:p>
        </w:tc>
        <w:tc>
          <w:tcPr>
            <w:tcW w:type="dxa" w:w="7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MFA enforced at Okta. Hardware FIDO2 (YubiKey) required for Operator-level and above. Software TOTP acceptable for ReadOnly role only.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Device Trust</w:t>
            </w:r>
          </w:p>
        </w:tc>
        <w:tc>
          <w:tcPr>
            <w:tcW w:type="dxa" w:w="7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Okta Device Trust check required for console access. Only MSP MDM-enrolled devices (Jamf Pro) permitted. No personal devices.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Shared Accounts</w:t>
            </w:r>
          </w:p>
        </w:tc>
        <w:tc>
          <w:tcPr>
            <w:tcW w:type="dxa" w:w="7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PROHIBITED. No shared IAM users, shared SSH keys, or shared credentials of any kind. Each engineer has an individual Okta identity.</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5. Provisioning &amp; Deprovisioning</w:t>
      </w:r>
    </w:p>
    <w:p>
      <w:pPr>
        <w:pBdr>
          <w:bottom w:val="single" w:color="2E75B6" w:sz="4" w:space="1"/>
        </w:pBdr>
        <w:spacing w:after="100"/>
      </w:pPr>
    </w:p>
    <w:p>
      <w:pPr>
        <w:pStyle w:val="Heading2"/>
        <w:spacing w:after="80" w:before="180"/>
      </w:pPr>
      <w:r>
        <w:rPr>
          <w:rFonts w:ascii="Arial" w:cs="Arial" w:eastAsia="Arial" w:hAnsi="Arial"/>
          <w:b/>
          <w:bCs/>
          <w:color w:val="2E75B6"/>
          <w:sz w:val="24"/>
          <w:szCs w:val="24"/>
        </w:rPr>
        <w:t xml:space="preserve">5.1  Provisioning</w:t>
      </w:r>
    </w:p>
    <w:p>
      <w:pPr>
        <w:pStyle w:val="ListParagraph"/>
        <w:numPr>
          <w:ilvl w:val="0"/>
          <w:numId w:val="2"/>
        </w:numPr>
        <w:spacing w:after="60"/>
      </w:pPr>
      <w:r>
        <w:rPr>
          <w:rFonts w:ascii="Arial" w:cs="Arial" w:eastAsia="Arial" w:hAnsi="Arial"/>
          <w:sz w:val="20"/>
          <w:szCs w:val="20"/>
        </w:rPr>
        <w:t xml:space="preserve">New MSP engineer access requested via internal MSP ticketing; requires MSP Account Lead approval.</w:t>
      </w:r>
    </w:p>
    <w:p>
      <w:pPr>
        <w:pStyle w:val="ListParagraph"/>
        <w:numPr>
          <w:ilvl w:val="0"/>
          <w:numId w:val="2"/>
        </w:numPr>
        <w:spacing w:after="60"/>
      </w:pPr>
      <w:r>
        <w:rPr>
          <w:rFonts w:ascii="Arial" w:cs="Arial" w:eastAsia="Arial" w:hAnsi="Arial"/>
          <w:sz w:val="20"/>
          <w:szCs w:val="20"/>
        </w:rPr>
        <w:t xml:space="preserve">Customer notified of new engineer access via email to James Okonkwo within 24 hours.</w:t>
      </w:r>
    </w:p>
    <w:p>
      <w:pPr>
        <w:pStyle w:val="ListParagraph"/>
        <w:numPr>
          <w:ilvl w:val="0"/>
          <w:numId w:val="2"/>
        </w:numPr>
        <w:spacing w:after="60"/>
      </w:pPr>
      <w:r>
        <w:rPr>
          <w:rFonts w:ascii="Arial" w:cs="Arial" w:eastAsia="Arial" w:hAnsi="Arial"/>
          <w:sz w:val="20"/>
          <w:szCs w:val="20"/>
        </w:rPr>
        <w:t xml:space="preserve">Customer may deny access to any named individual within 48 hours of notification.</w:t>
      </w:r>
    </w:p>
    <w:p>
      <w:pPr>
        <w:pStyle w:val="ListParagraph"/>
        <w:numPr>
          <w:ilvl w:val="0"/>
          <w:numId w:val="2"/>
        </w:numPr>
        <w:spacing w:after="60"/>
      </w:pPr>
      <w:r>
        <w:rPr>
          <w:rFonts w:ascii="Arial" w:cs="Arial" w:eastAsia="Arial" w:hAnsi="Arial"/>
          <w:sz w:val="20"/>
          <w:szCs w:val="20"/>
        </w:rPr>
        <w:t xml:space="preserve">Engineer completes Acme Retail security induction (this document + Data Handling + Data Classification) before access granted.</w:t>
      </w:r>
    </w:p>
    <w:p>
      <w:pPr>
        <w:spacing w:after="80"/>
      </w:pPr>
      <w:r>
        <w:t xml:space="preserve"/>
      </w:r>
    </w:p>
    <w:p>
      <w:pPr>
        <w:pStyle w:val="Heading2"/>
        <w:spacing w:after="80" w:before="180"/>
      </w:pPr>
      <w:r>
        <w:rPr>
          <w:rFonts w:ascii="Arial" w:cs="Arial" w:eastAsia="Arial" w:hAnsi="Arial"/>
          <w:b/>
          <w:bCs/>
          <w:color w:val="2E75B6"/>
          <w:sz w:val="24"/>
          <w:szCs w:val="24"/>
        </w:rPr>
        <w:t xml:space="preserve">5.2  Deprovisioning</w:t>
      </w:r>
    </w:p>
    <w:p>
      <w:pPr>
        <w:pStyle w:val="ListParagraph"/>
        <w:numPr>
          <w:ilvl w:val="0"/>
          <w:numId w:val="2"/>
        </w:numPr>
        <w:spacing w:after="60"/>
      </w:pPr>
      <w:r>
        <w:rPr>
          <w:rFonts w:ascii="Arial" w:cs="Arial" w:eastAsia="Arial" w:hAnsi="Arial"/>
          <w:sz w:val="20"/>
          <w:szCs w:val="20"/>
        </w:rPr>
        <w:t xml:space="preserve">Offboarding: access revoked same day as departure notification. Okta suspended, IAM Identity Center assignment removed, 1Password vault entries rotated.</w:t>
      </w:r>
    </w:p>
    <w:p>
      <w:pPr>
        <w:pStyle w:val="ListParagraph"/>
        <w:numPr>
          <w:ilvl w:val="0"/>
          <w:numId w:val="2"/>
        </w:numPr>
        <w:spacing w:after="60"/>
      </w:pPr>
      <w:r>
        <w:rPr>
          <w:rFonts w:ascii="Arial" w:cs="Arial" w:eastAsia="Arial" w:hAnsi="Arial"/>
          <w:sz w:val="20"/>
          <w:szCs w:val="20"/>
        </w:rPr>
        <w:t xml:space="preserve">Customer notified of any offboarding within 24 hours.</w:t>
      </w:r>
    </w:p>
    <w:p>
      <w:pPr>
        <w:pStyle w:val="ListParagraph"/>
        <w:numPr>
          <w:ilvl w:val="0"/>
          <w:numId w:val="2"/>
        </w:numPr>
        <w:spacing w:after="60"/>
      </w:pPr>
      <w:r>
        <w:rPr>
          <w:rFonts w:ascii="Arial" w:cs="Arial" w:eastAsia="Arial" w:hAnsi="Arial"/>
          <w:sz w:val="20"/>
          <w:szCs w:val="20"/>
        </w:rPr>
        <w:t xml:space="preserve">Quarterly automated access review report shared with Customer Platform Lead.</w:t>
      </w:r>
    </w:p>
    <w:p>
      <w:pPr>
        <w:spacing w:after="80"/>
      </w:pPr>
      <w:r>
        <w:t xml:space="preserve"/>
      </w:r>
    </w:p>
    <w:p>
      <w:pPr>
        <w:pStyle w:val="Heading1"/>
        <w:spacing w:after="100" w:before="260"/>
      </w:pPr>
      <w:r>
        <w:rPr>
          <w:rFonts w:ascii="Arial" w:cs="Arial" w:eastAsia="Arial" w:hAnsi="Arial"/>
          <w:b/>
          <w:bCs/>
          <w:color w:val="1B3A6B"/>
          <w:sz w:val="28"/>
          <w:szCs w:val="28"/>
        </w:rPr>
        <w:t xml:space="preserve">6. Prohibited Actions</w:t>
      </w:r>
    </w:p>
    <w:p>
      <w:pPr>
        <w:pBdr>
          <w:bottom w:val="single" w:color="2E75B6" w:sz="4" w:space="1"/>
        </w:pBdr>
        <w:spacing w:after="100"/>
      </w:pPr>
    </w:p>
    <w:p>
      <w:pPr>
        <w:pBdr>
          <w:left w:val="single" w:color="2E75B6" w:sz="4" w:space="8"/>
        </w:pBdr>
        <w:spacing w:after="80"/>
        <w:ind w:left="360"/>
      </w:pPr>
      <w:r>
        <w:rPr>
          <w:rFonts w:ascii="Arial" w:cs="Arial" w:eastAsia="Arial" w:hAnsi="Arial"/>
          <w:color w:val="555555"/>
          <w:sz w:val="18"/>
          <w:szCs w:val="18"/>
        </w:rPr>
        <w:t xml:space="preserve">Violation of any prohibition results in immediate access revocation pending investigation.</w:t>
      </w:r>
    </w:p>
    <w:p>
      <w:pPr>
        <w:pStyle w:val="ListParagraph"/>
        <w:numPr>
          <w:ilvl w:val="0"/>
          <w:numId w:val="2"/>
        </w:numPr>
        <w:spacing w:after="60"/>
      </w:pPr>
      <w:r>
        <w:rPr>
          <w:rFonts w:ascii="Arial" w:cs="Arial" w:eastAsia="Arial" w:hAnsi="Arial"/>
          <w:sz w:val="20"/>
          <w:szCs w:val="20"/>
        </w:rPr>
        <w:t xml:space="preserve">Accessing customer PII data outside an approved P1/P2 investigation with explicit Customer approval.</w:t>
      </w:r>
    </w:p>
    <w:p>
      <w:pPr>
        <w:pStyle w:val="ListParagraph"/>
        <w:numPr>
          <w:ilvl w:val="0"/>
          <w:numId w:val="2"/>
        </w:numPr>
        <w:spacing w:after="60"/>
      </w:pPr>
      <w:r>
        <w:rPr>
          <w:rFonts w:ascii="Arial" w:cs="Arial" w:eastAsia="Arial" w:hAnsi="Arial"/>
          <w:sz w:val="20"/>
          <w:szCs w:val="20"/>
        </w:rPr>
        <w:t xml:space="preserve">Copying, exporting, or storing Acme Retail data on any MSP or personal system.</w:t>
      </w:r>
    </w:p>
    <w:p>
      <w:pPr>
        <w:pStyle w:val="ListParagraph"/>
        <w:numPr>
          <w:ilvl w:val="0"/>
          <w:numId w:val="2"/>
        </w:numPr>
        <w:spacing w:after="60"/>
      </w:pPr>
      <w:r>
        <w:rPr>
          <w:rFonts w:ascii="Arial" w:cs="Arial" w:eastAsia="Arial" w:hAnsi="Arial"/>
          <w:sz w:val="20"/>
          <w:szCs w:val="20"/>
        </w:rPr>
        <w:t xml:space="preserve">Sharing access credentials, session tokens, or console URLs with any third party.</w:t>
      </w:r>
    </w:p>
    <w:p>
      <w:pPr>
        <w:pStyle w:val="ListParagraph"/>
        <w:numPr>
          <w:ilvl w:val="0"/>
          <w:numId w:val="2"/>
        </w:numPr>
        <w:spacing w:after="60"/>
      </w:pPr>
      <w:r>
        <w:rPr>
          <w:rFonts w:ascii="Arial" w:cs="Arial" w:eastAsia="Arial" w:hAnsi="Arial"/>
          <w:sz w:val="20"/>
          <w:szCs w:val="20"/>
        </w:rPr>
        <w:t xml:space="preserve">Using Customer AWS account for any purpose other than the Acme Retail Platform workload.</w:t>
      </w:r>
    </w:p>
    <w:p>
      <w:pPr>
        <w:pStyle w:val="ListParagraph"/>
        <w:numPr>
          <w:ilvl w:val="0"/>
          <w:numId w:val="2"/>
        </w:numPr>
        <w:spacing w:after="60"/>
      </w:pPr>
      <w:r>
        <w:rPr>
          <w:rFonts w:ascii="Arial" w:cs="Arial" w:eastAsia="Arial" w:hAnsi="Arial"/>
          <w:sz w:val="20"/>
          <w:szCs w:val="20"/>
        </w:rPr>
        <w:t xml:space="preserve">Accessing resources outside agreed scope without written Customer approval.</w:t>
      </w:r>
    </w:p>
    <w:p>
      <w:pPr>
        <w:pStyle w:val="ListParagraph"/>
        <w:numPr>
          <w:ilvl w:val="0"/>
          <w:numId w:val="2"/>
        </w:numPr>
        <w:spacing w:after="60"/>
      </w:pPr>
      <w:r>
        <w:rPr>
          <w:rFonts w:ascii="Arial" w:cs="Arial" w:eastAsia="Arial" w:hAnsi="Arial"/>
          <w:sz w:val="20"/>
          <w:szCs w:val="20"/>
        </w:rPr>
        <w:t xml:space="preserve">Disabling or modifying CloudTrail, GuardDuty, or Security Hub without Customer Security Lead approval.</w:t>
      </w:r>
    </w:p>
    <w:p>
      <w:pPr>
        <w:spacing w:after="80"/>
      </w:pPr>
      <w:r>
        <w:t xml:space="preserve"/>
      </w:r>
    </w:p>
    <w:p>
      <w:pPr>
        <w:pStyle w:val="Heading1"/>
        <w:spacing w:after="100" w:before="260"/>
      </w:pPr>
      <w:r>
        <w:rPr>
          <w:rFonts w:ascii="Arial" w:cs="Arial" w:eastAsia="Arial" w:hAnsi="Arial"/>
          <w:b/>
          <w:bCs/>
          <w:color w:val="1B3A6B"/>
          <w:sz w:val="28"/>
          <w:szCs w:val="28"/>
        </w:rPr>
        <w:t xml:space="preserve">7. Tool Access Summary</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c>
          <w:tcPr>
            <w:tcW w:type="dxa" w:w="24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Tool</w:t>
            </w:r>
          </w:p>
        </w:tc>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MSP Access Level</w:t>
            </w:r>
          </w:p>
        </w:tc>
        <w:tc>
          <w:tcPr>
            <w:tcW w:type="dxa" w:w="52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Constraints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AWS Console (prod)</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Role-based (§3)</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SSO only. No direct IAM login. All activity in CloudTrail.</w:t>
            </w:r>
          </w:p>
        </w:tc>
      </w:tr>
      <w:tr>
        <w:tc>
          <w:tcPr>
            <w:tcW w:type="dxa" w:w="2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AWS CLI</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SSO profile</w:t>
            </w:r>
          </w:p>
        </w:tc>
        <w:tc>
          <w:tcPr>
            <w:tcW w:type="dxa" w:w="5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Short-lived creds (1 hr via aws sso login). No credential export to CI/CD.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SSM Session Manager</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Operator role required</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direct SSH. Sessions logged to S3 + CloudWatch. Customer may terminate.</w:t>
            </w:r>
          </w:p>
        </w:tc>
      </w:tr>
      <w:tr>
        <w:tc>
          <w:tcPr>
            <w:tcW w:type="dxa" w:w="2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PagerDuty</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Admin (MSP-managed)</w:t>
            </w:r>
          </w:p>
        </w:tc>
        <w:tc>
          <w:tcPr>
            <w:tcW w:type="dxa" w:w="5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has read access to all incident history.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Datadog</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Admin (MSP-managed)</w:t>
            </w:r>
          </w:p>
        </w:tc>
        <w:tc>
          <w:tcPr>
            <w:tcW w:type="dxa" w:w="5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has read access to dashboards. No data export to personal accounts.</w:t>
            </w:r>
          </w:p>
        </w:tc>
      </w:tr>
      <w:tr>
        <w:tc>
          <w:tcPr>
            <w:tcW w:type="dxa" w:w="2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Jira (Customer)</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OPS project: full; others: read</w:t>
            </w:r>
          </w:p>
        </w:tc>
        <w:tc>
          <w:tcPr>
            <w:tcW w:type="dxa" w:w="52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Named Acme Retail Jira accounts. No bulk data export. PII redacted in comments.</w:t>
            </w:r>
          </w:p>
        </w:tc>
      </w:tr>
    </w:tbl>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space="2"/>
      </w:pBdr>
      <w:spacing w:after="100" w:before="260"/>
      <w:outlineLvl w:val="0"/>
    </w:pPr>
    <w:rPr>
      <w:rFonts w:ascii="Arial" w:cs="Arial" w:eastAsia="Arial" w:hAnsi="Arial"/>
      <w:b/>
      <w:bCs/>
      <w:color w:val="1B3A6B"/>
      <w:sz w:val="28"/>
      <w:szCs w:val="28"/>
    </w:rPr>
  </w:style>
  <w:style w:type="paragraph" w:styleId="Heading2">
    <w:name w:val="Heading 2"/>
    <w:basedOn w:val="Normal"/>
    <w:next w:val="Normal"/>
    <w:pPr>
      <w:spacing w:after="80" w:before="180"/>
      <w:outlineLvl w:val="1"/>
    </w:pPr>
    <w:rPr>
      <w:rFonts w:ascii="Arial" w:cs="Arial" w:eastAsia="Arial" w:hAnsi="Arial"/>
      <w:b/>
      <w:bCs/>
      <w:color w:val="2E75B6"/>
      <w:sz w:val="24"/>
      <w:szCs w:val="24"/>
    </w:rPr>
  </w:style>
  <w:style w:type="paragraph" w:styleId="Heading3">
    <w:name w:val="Heading 3"/>
    <w:basedOn w:val="Normal"/>
    <w:next w:val="Normal"/>
    <w:pPr>
      <w:spacing w:after="60" w:before="140"/>
      <w:outlineLvl w:val="2"/>
    </w:pPr>
    <w:rPr>
      <w:rFonts w:ascii="Arial" w:cs="Arial" w:eastAsia="Arial" w:hAnsi="Arial"/>
      <w:b/>
      <w:bCs/>
      <w:color w:val="00707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2026-06-15T06:53:36.461Z</dcterms:created>
  <dcterms:modified xsi:type="dcterms:W3CDTF">2026-06-15T06:53:36.461Z</dcterms:modified>
</cp:coreProperties>
</file>

<file path=docProps/custom.xml><?xml version="1.0" encoding="utf-8"?>
<Properties xmlns="http://schemas.openxmlformats.org/officeDocument/2006/custom-properties" xmlns:vt="http://schemas.openxmlformats.org/officeDocument/2006/docPropsVTypes"/>
</file>