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Business Continuity Requirements Document</w:t>
      </w:r>
    </w:p>
    <w:p>
      <w:pPr>
        <w:spacing w:after="60"/>
        <w:jc w:val="center"/>
      </w:pPr>
      <w:r>
        <w:rPr>
          <w:rFonts w:ascii="Arial" w:cs="Arial" w:eastAsia="Arial" w:hAnsi="Arial"/>
          <w:color w:val="2E75B6"/>
          <w:sz w:val="26"/>
          <w:szCs w:val="26"/>
        </w:rPr>
        <w:t xml:space="preserve">Platform Resilience Requirements — Acme Retail Platform</w:t>
      </w:r>
    </w:p>
    <w:p>
      <w:pPr>
        <w:spacing w:after="180"/>
        <w:jc w:val="center"/>
      </w:pPr>
      <w:r>
        <w:rPr>
          <w:rFonts w:ascii="Arial" w:cs="Arial" w:eastAsia="Arial" w:hAnsi="Arial"/>
          <w:color w:val="888888"/>
          <w:sz w:val="18"/>
          <w:szCs w:val="18"/>
        </w:rPr>
        <w:t xml:space="preserve">v1.1  |  March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 &amp; Scope</w:t>
      </w:r>
    </w:p>
    <w:p>
      <w:pPr>
        <w:pBdr>
          <w:bottom w:val="single" w:color="2E75B6" w:sz="4" w:space="1"/>
        </w:pBdr>
        <w:spacing w:after="100"/>
      </w:pPr>
    </w:p>
    <w:p>
      <w:pPr>
        <w:spacing w:after="80"/>
      </w:pPr>
      <w:r>
        <w:rPr>
          <w:rFonts w:ascii="Arial" w:cs="Arial" w:eastAsia="Arial" w:hAnsi="Arial"/>
          <w:color w:val="404040"/>
          <w:sz w:val="20"/>
          <w:szCs w:val="20"/>
        </w:rPr>
        <w:t xml:space="preserve">This document defines the business continuity requirements for the Acme Retail Platform. It establishes recovery objectives, resilience architecture requirements, DR invocation criteria, and the obligations of both Acme Retail and Cloud Operations Team (MSP) in maintaining continuity.</w:t>
      </w:r>
    </w:p>
    <w:p>
      <w:pPr>
        <w:spacing w:after="80"/>
      </w:pPr>
      <w:r>
        <w:rPr>
          <w:rFonts w:ascii="Arial" w:cs="Arial" w:eastAsia="Arial" w:hAnsi="Arial"/>
          <w:color w:val="404040"/>
          <w:sz w:val="20"/>
          <w:szCs w:val="20"/>
        </w:rPr>
        <w:t xml:space="preserve">Scope: Acme Retail Platform production workload (us-east-1) and DR environment (us-west-2). Covers technology resilience, process continuity, and supplier management.</w:t>
      </w:r>
    </w:p>
    <w:p>
      <w:pPr>
        <w:spacing w:after="80"/>
      </w:pPr>
      <w:r>
        <w:t xml:space="preserve"/>
      </w:r>
    </w:p>
    <w:p>
      <w:pPr>
        <w:pStyle w:val="Heading1"/>
        <w:spacing w:after="100" w:before="260"/>
      </w:pPr>
      <w:r>
        <w:rPr>
          <w:rFonts w:ascii="Arial" w:cs="Arial" w:eastAsia="Arial" w:hAnsi="Arial"/>
          <w:b/>
          <w:bCs/>
          <w:color w:val="1B3A6B"/>
          <w:sz w:val="28"/>
          <w:szCs w:val="28"/>
        </w:rPr>
        <w:t xml:space="preserve">2. Business Continuity Objectives</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c>
          <w:tcPr>
            <w:tcW w:type="dxa" w:w="2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Objective</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Target</w:t>
            </w:r>
          </w:p>
        </w:tc>
        <w:tc>
          <w:tcPr>
            <w:tcW w:type="dxa" w:w="5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Rationale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Platform Availability SLA</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99.9% monthly</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≤43 min unplanned downtime/month. Contractual commitment to enterprise retail partners.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Recovery Time Objective (RTO)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55A11"/>
                <w:sz w:val="18"/>
                <w:szCs w:val="18"/>
              </w:rPr>
              <w:t xml:space="preserve">4 hours</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Time from disaster declaration to restored service in us-west-2. Driven by warm standby architecture.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Recovery Point Objective (RPO)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55A11"/>
                <w:sz w:val="18"/>
                <w:szCs w:val="18"/>
              </w:rPr>
              <w:t xml:space="preserve">1 hour</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Maximum acceptable data loss. Aurora PITR granularity 5 min; cross-region replica lag typically &lt;1 min.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P1 MTTR Target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2 hours</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From PagerDuty alert to service restored. 30-day actuals: 58 min average.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Maximum Tolerable Downtime (MTD)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12 hours</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Beyond 12 hours: contractual penalty exposure and significant brand damage. DR must be invoked before this threshold.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P1 Financial Impact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$14–18k / hour</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Estimated revenue loss. Enterprise partner SLA penalties add ~$3k/hour additional exposure.</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3. Resilience Architecture Requirements</w:t>
      </w:r>
    </w:p>
    <w:p>
      <w:pPr>
        <w:pBdr>
          <w:bottom w:val="single" w:color="2E75B6" w:sz="4" w:space="1"/>
        </w:pBdr>
        <w:spacing w:after="100"/>
      </w:pPr>
    </w:p>
    <w:p>
      <w:pPr>
        <w:pStyle w:val="Heading2"/>
        <w:spacing w:after="80" w:before="180"/>
      </w:pPr>
      <w:r>
        <w:rPr>
          <w:rFonts w:ascii="Arial" w:cs="Arial" w:eastAsia="Arial" w:hAnsi="Arial"/>
          <w:b/>
          <w:bCs/>
          <w:color w:val="2E75B6"/>
          <w:sz w:val="24"/>
          <w:szCs w:val="24"/>
        </w:rPr>
        <w:t xml:space="preserve">3.1  Compute Resilience</w:t>
      </w:r>
    </w:p>
    <w:p>
      <w:pPr>
        <w:pStyle w:val="ListParagraph"/>
        <w:numPr>
          <w:ilvl w:val="0"/>
          <w:numId w:val="2"/>
        </w:numPr>
        <w:spacing w:after="60"/>
      </w:pPr>
      <w:r>
        <w:rPr>
          <w:rFonts w:ascii="Arial" w:cs="Arial" w:eastAsia="Arial" w:hAnsi="Arial"/>
          <w:sz w:val="20"/>
          <w:szCs w:val="20"/>
        </w:rPr>
        <w:t xml:space="preserve">All production workloads deployed across minimum 2 Availability Zones (us-east-1a, 1b, 1c active).</w:t>
      </w:r>
    </w:p>
    <w:p>
      <w:pPr>
        <w:pStyle w:val="ListParagraph"/>
        <w:numPr>
          <w:ilvl w:val="0"/>
          <w:numId w:val="2"/>
        </w:numPr>
        <w:spacing w:after="60"/>
      </w:pPr>
      <w:r>
        <w:rPr>
          <w:rFonts w:ascii="Arial" w:cs="Arial" w:eastAsia="Arial" w:hAnsi="Arial"/>
          <w:sz w:val="20"/>
          <w:szCs w:val="20"/>
        </w:rPr>
        <w:t xml:space="preserve">EC2 Auto Scaling Group: minimum 4 instances at all times. ASG recovers automatically from AZ impairment.</w:t>
      </w:r>
    </w:p>
    <w:p>
      <w:pPr>
        <w:pStyle w:val="ListParagraph"/>
        <w:numPr>
          <w:ilvl w:val="0"/>
          <w:numId w:val="2"/>
        </w:numPr>
        <w:spacing w:after="60"/>
      </w:pPr>
      <w:r>
        <w:rPr>
          <w:rFonts w:ascii="Arial" w:cs="Arial" w:eastAsia="Arial" w:hAnsi="Arial"/>
          <w:sz w:val="20"/>
          <w:szCs w:val="20"/>
        </w:rPr>
        <w:t xml:space="preserve">ECS Fargate services (order-service, search-service, etc.): minimum 2 tasks across 2 AZs at all times.</w:t>
      </w:r>
    </w:p>
    <w:p>
      <w:pPr>
        <w:pStyle w:val="ListParagraph"/>
        <w:numPr>
          <w:ilvl w:val="0"/>
          <w:numId w:val="2"/>
        </w:numPr>
        <w:spacing w:after="60"/>
      </w:pPr>
      <w:r>
        <w:rPr>
          <w:rFonts w:ascii="Arial" w:cs="Arial" w:eastAsia="Arial" w:hAnsi="Arial"/>
          <w:sz w:val="20"/>
          <w:szCs w:val="20"/>
        </w:rPr>
        <w:t xml:space="preserve">No single instance, task, or Lambda function may represent a single point of failure in the order processing path.</w:t>
      </w:r>
    </w:p>
    <w:p>
      <w:pPr>
        <w:spacing w:after="80"/>
      </w:pPr>
      <w:r>
        <w:t xml:space="preserve"/>
      </w:r>
    </w:p>
    <w:p>
      <w:pPr>
        <w:pStyle w:val="Heading2"/>
        <w:spacing w:after="80" w:before="180"/>
      </w:pPr>
      <w:r>
        <w:rPr>
          <w:rFonts w:ascii="Arial" w:cs="Arial" w:eastAsia="Arial" w:hAnsi="Arial"/>
          <w:b/>
          <w:bCs/>
          <w:color w:val="2E75B6"/>
          <w:sz w:val="24"/>
          <w:szCs w:val="24"/>
        </w:rPr>
        <w:t xml:space="preserve">3.2  Data Resilience</w:t>
      </w:r>
    </w:p>
    <w:p>
      <w:pPr>
        <w:pStyle w:val="ListParagraph"/>
        <w:numPr>
          <w:ilvl w:val="0"/>
          <w:numId w:val="2"/>
        </w:numPr>
        <w:spacing w:after="60"/>
      </w:pPr>
      <w:r>
        <w:rPr>
          <w:rFonts w:ascii="Arial" w:cs="Arial" w:eastAsia="Arial" w:hAnsi="Arial"/>
          <w:sz w:val="20"/>
          <w:szCs w:val="20"/>
        </w:rPr>
        <w:t xml:space="preserve">Aurora MySQL: Multi-AZ cluster with synchronous standby. Automated failover &lt; 60 seconds.</w:t>
      </w:r>
    </w:p>
    <w:p>
      <w:pPr>
        <w:pStyle w:val="ListParagraph"/>
        <w:numPr>
          <w:ilvl w:val="0"/>
          <w:numId w:val="2"/>
        </w:numPr>
        <w:spacing w:after="60"/>
      </w:pPr>
      <w:r>
        <w:rPr>
          <w:rFonts w:ascii="Arial" w:cs="Arial" w:eastAsia="Arial" w:hAnsi="Arial"/>
          <w:sz w:val="20"/>
          <w:szCs w:val="20"/>
        </w:rPr>
        <w:t xml:space="preserve">Cross-region read replica in us-west-2 maintained at all times. Replication lag monitored; P2 alarm if lag &gt;5 minutes.</w:t>
      </w:r>
    </w:p>
    <w:p>
      <w:pPr>
        <w:pStyle w:val="ListParagraph"/>
        <w:numPr>
          <w:ilvl w:val="0"/>
          <w:numId w:val="2"/>
        </w:numPr>
        <w:spacing w:after="60"/>
      </w:pPr>
      <w:r>
        <w:rPr>
          <w:rFonts w:ascii="Arial" w:cs="Arial" w:eastAsia="Arial" w:hAnsi="Arial"/>
          <w:sz w:val="20"/>
          <w:szCs w:val="20"/>
        </w:rPr>
        <w:t xml:space="preserve">ElastiCache Redis: cluster mode, minimum 2 replicas per shard, automatic failover enabled.</w:t>
      </w:r>
    </w:p>
    <w:p>
      <w:pPr>
        <w:pStyle w:val="ListParagraph"/>
        <w:numPr>
          <w:ilvl w:val="0"/>
          <w:numId w:val="2"/>
        </w:numPr>
        <w:spacing w:after="60"/>
      </w:pPr>
      <w:r>
        <w:rPr>
          <w:rFonts w:ascii="Arial" w:cs="Arial" w:eastAsia="Arial" w:hAnsi="Arial"/>
          <w:sz w:val="20"/>
          <w:szCs w:val="20"/>
        </w:rPr>
        <w:t xml:space="preserve">All S3 buckets containing RESTRICTED data have cross-region replication to us-west-2.</w:t>
      </w:r>
    </w:p>
    <w:p>
      <w:pPr>
        <w:pStyle w:val="ListParagraph"/>
        <w:numPr>
          <w:ilvl w:val="0"/>
          <w:numId w:val="2"/>
        </w:numPr>
        <w:spacing w:after="60"/>
      </w:pPr>
      <w:r>
        <w:rPr>
          <w:rFonts w:ascii="Arial" w:cs="Arial" w:eastAsia="Arial" w:hAnsi="Arial"/>
          <w:sz w:val="20"/>
          <w:szCs w:val="20"/>
        </w:rPr>
        <w:t xml:space="preserve">Daily backup validation by MSP; monthly restore test with documented certificate.</w:t>
      </w:r>
    </w:p>
    <w:p>
      <w:pPr>
        <w:spacing w:after="80"/>
      </w:pPr>
      <w:r>
        <w:t xml:space="preserve"/>
      </w:r>
    </w:p>
    <w:p>
      <w:pPr>
        <w:pStyle w:val="Heading2"/>
        <w:spacing w:after="80" w:before="180"/>
      </w:pPr>
      <w:r>
        <w:rPr>
          <w:rFonts w:ascii="Arial" w:cs="Arial" w:eastAsia="Arial" w:hAnsi="Arial"/>
          <w:b/>
          <w:bCs/>
          <w:color w:val="2E75B6"/>
          <w:sz w:val="24"/>
          <w:szCs w:val="24"/>
        </w:rPr>
        <w:t xml:space="preserve">3.3  Network Resilience</w:t>
      </w:r>
    </w:p>
    <w:p>
      <w:pPr>
        <w:pStyle w:val="ListParagraph"/>
        <w:numPr>
          <w:ilvl w:val="0"/>
          <w:numId w:val="2"/>
        </w:numPr>
        <w:spacing w:after="60"/>
      </w:pPr>
      <w:r>
        <w:rPr>
          <w:rFonts w:ascii="Arial" w:cs="Arial" w:eastAsia="Arial" w:hAnsi="Arial"/>
          <w:sz w:val="20"/>
          <w:szCs w:val="20"/>
        </w:rPr>
        <w:t xml:space="preserve">NAT Gateway: one per AZ (3 total). AZ-local route tables avoid cross-AZ single-point dependency.</w:t>
      </w:r>
    </w:p>
    <w:p>
      <w:pPr>
        <w:pStyle w:val="ListParagraph"/>
        <w:numPr>
          <w:ilvl w:val="0"/>
          <w:numId w:val="2"/>
        </w:numPr>
        <w:spacing w:after="60"/>
      </w:pPr>
      <w:r>
        <w:rPr>
          <w:rFonts w:ascii="Arial" w:cs="Arial" w:eastAsia="Arial" w:hAnsi="Arial"/>
          <w:sz w:val="20"/>
          <w:szCs w:val="20"/>
        </w:rPr>
        <w:t xml:space="preserve">CloudFront + Route 53 provide global redundancy. Route 53 failover routing tested annually.</w:t>
      </w:r>
    </w:p>
    <w:p>
      <w:pPr>
        <w:pStyle w:val="ListParagraph"/>
        <w:numPr>
          <w:ilvl w:val="0"/>
          <w:numId w:val="2"/>
        </w:numPr>
        <w:spacing w:after="60"/>
      </w:pPr>
      <w:r>
        <w:rPr>
          <w:rFonts w:ascii="Arial" w:cs="Arial" w:eastAsia="Arial" w:hAnsi="Arial"/>
          <w:sz w:val="20"/>
          <w:szCs w:val="20"/>
        </w:rPr>
        <w:t xml:space="preserve">AWS Direct Connect (WMS integration): Site-to-Site VPN backup path. Failover tested annually.</w:t>
      </w:r>
    </w:p>
    <w:p>
      <w:pPr>
        <w:spacing w:after="80"/>
      </w:pPr>
      <w:r>
        <w:t xml:space="preserve"/>
      </w:r>
    </w:p>
    <w:p>
      <w:pPr>
        <w:pStyle w:val="Heading1"/>
        <w:spacing w:after="100" w:before="260"/>
      </w:pPr>
      <w:r>
        <w:rPr>
          <w:rFonts w:ascii="Arial" w:cs="Arial" w:eastAsia="Arial" w:hAnsi="Arial"/>
          <w:b/>
          <w:bCs/>
          <w:color w:val="1B3A6B"/>
          <w:sz w:val="28"/>
          <w:szCs w:val="28"/>
        </w:rPr>
        <w:t xml:space="preserve">4. DR Invocation Criteria</w:t>
      </w:r>
    </w:p>
    <w:p>
      <w:pPr>
        <w:pBdr>
          <w:bottom w:val="single" w:color="2E75B6" w:sz="4" w:space="1"/>
        </w:pBdr>
        <w:spacing w:after="100"/>
      </w:pPr>
    </w:p>
    <w:p>
      <w:pPr>
        <w:pBdr>
          <w:left w:val="single" w:color="2E75B6" w:sz="4" w:space="8"/>
        </w:pBdr>
        <w:spacing w:after="80"/>
        <w:ind w:left="360"/>
      </w:pPr>
      <w:r>
        <w:rPr>
          <w:rFonts w:ascii="Arial" w:cs="Arial" w:eastAsia="Arial" w:hAnsi="Arial"/>
          <w:color w:val="555555"/>
          <w:sz w:val="18"/>
          <w:szCs w:val="18"/>
        </w:rPr>
        <w:t xml:space="preserve">DR invocation is a business decision requiring sign-off from Customer CTO or VP Digital Commerce. MSP facilitates; Customer decides.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Trigger</w:t>
            </w:r>
          </w:p>
        </w:tc>
        <w:tc>
          <w:tcPr>
            <w:tcW w:type="dxa" w:w="7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Description &amp; Action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Region Failure</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AWS Health Dashboard confirms us-east-1 multi-AZ impairment on ≥2 critical services. MSP declares potential DR event, engages Customer CTO within 15 minutes.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RTO Clock at Risk</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P1 unresolved at 2 hours with no clear resolution path. MSP recommends DR consideration to Customer leadership.</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 Corruption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Database or app data confirmed corrupted with no viable in-region restore. Customer DBA + CTO must approve.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Security Incident</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Confirmed ransomware or destructive attack affecting production. MSP immediately isolates; Customer CISO leads DR decision.</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5. Key Personnel Continuity</w:t>
      </w:r>
    </w:p>
    <w:p>
      <w:pPr>
        <w:pBdr>
          <w:bottom w:val="single" w:color="2E75B6" w:sz="4" w:space="1"/>
        </w:pBdr>
        <w:spacing w:after="100"/>
      </w:pPr>
    </w:p>
    <w:p>
      <w:pPr>
        <w:pStyle w:val="ListParagraph"/>
        <w:numPr>
          <w:ilvl w:val="0"/>
          <w:numId w:val="2"/>
        </w:numPr>
        <w:spacing w:after="60"/>
      </w:pPr>
      <w:r>
        <w:rPr>
          <w:rFonts w:ascii="Arial" w:cs="Arial" w:eastAsia="Arial" w:hAnsi="Arial"/>
          <w:sz w:val="20"/>
          <w:szCs w:val="20"/>
        </w:rPr>
        <w:t xml:space="preserve">Every critical operational procedure documented and executable by at least 2 MSP engineers.</w:t>
      </w:r>
    </w:p>
    <w:p>
      <w:pPr>
        <w:pStyle w:val="ListParagraph"/>
        <w:numPr>
          <w:ilvl w:val="0"/>
          <w:numId w:val="2"/>
        </w:numPr>
        <w:spacing w:after="60"/>
      </w:pPr>
      <w:r>
        <w:rPr>
          <w:rFonts w:ascii="Arial" w:cs="Arial" w:eastAsia="Arial" w:hAnsi="Arial"/>
          <w:sz w:val="20"/>
          <w:szCs w:val="20"/>
        </w:rPr>
        <w:t xml:space="preserve">MSP must maintain minimum 3 trained engineers on the Acme Retail engagement at all times.</w:t>
      </w:r>
    </w:p>
    <w:p>
      <w:pPr>
        <w:pStyle w:val="ListParagraph"/>
        <w:numPr>
          <w:ilvl w:val="0"/>
          <w:numId w:val="2"/>
        </w:numPr>
        <w:spacing w:after="60"/>
      </w:pPr>
      <w:r>
        <w:rPr>
          <w:rFonts w:ascii="Arial" w:cs="Arial" w:eastAsia="Arial" w:hAnsi="Arial"/>
          <w:sz w:val="20"/>
          <w:szCs w:val="20"/>
        </w:rPr>
        <w:t xml:space="preserve">MSP gives 30-day notice of any planned departure of an engineer with unique platform knowledge.</w:t>
      </w:r>
    </w:p>
    <w:p>
      <w:pPr>
        <w:pStyle w:val="ListParagraph"/>
        <w:numPr>
          <w:ilvl w:val="0"/>
          <w:numId w:val="2"/>
        </w:numPr>
        <w:spacing w:after="60"/>
      </w:pPr>
      <w:r>
        <w:rPr>
          <w:rFonts w:ascii="Arial" w:cs="Arial" w:eastAsia="Arial" w:hAnsi="Arial"/>
          <w:sz w:val="20"/>
          <w:szCs w:val="20"/>
        </w:rPr>
        <w:t xml:space="preserve">Customer maintains at least 2 engineers (James Okonkwo and Priya Nair) with sufficient AWS knowledge for emergency changes.</w:t>
      </w:r>
    </w:p>
    <w:p>
      <w:pPr>
        <w:pStyle w:val="ListParagraph"/>
        <w:numPr>
          <w:ilvl w:val="0"/>
          <w:numId w:val="2"/>
        </w:numPr>
        <w:spacing w:after="60"/>
      </w:pPr>
      <w:r>
        <w:rPr>
          <w:rFonts w:ascii="Arial" w:cs="Arial" w:eastAsia="Arial" w:hAnsi="Arial"/>
          <w:sz w:val="20"/>
          <w:szCs w:val="20"/>
        </w:rPr>
        <w:t xml:space="preserve">Escalation contact list (Incident Escalation Matrix) reviewed and validated quarterly.</w:t>
      </w:r>
    </w:p>
    <w:p>
      <w:pPr>
        <w:spacing w:after="80"/>
      </w:pPr>
      <w:r>
        <w:t xml:space="preserve"/>
      </w:r>
    </w:p>
    <w:p>
      <w:pPr>
        <w:pStyle w:val="Heading1"/>
        <w:spacing w:after="100" w:before="260"/>
      </w:pPr>
      <w:r>
        <w:rPr>
          <w:rFonts w:ascii="Arial" w:cs="Arial" w:eastAsia="Arial" w:hAnsi="Arial"/>
          <w:b/>
          <w:bCs/>
          <w:color w:val="1B3A6B"/>
          <w:sz w:val="28"/>
          <w:szCs w:val="28"/>
        </w:rPr>
        <w:t xml:space="preserve">6. Supplier Continuity Plans</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400"/>
      </w:tblGrid>
      <w:tr>
        <w:tc>
          <w:tcPr>
            <w:tcW w:type="dxa" w:w="2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Supplier</w:t>
            </w:r>
          </w:p>
        </w:tc>
        <w:tc>
          <w:tcPr>
            <w:tcW w:type="dxa" w:w="1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Criticality</w:t>
            </w:r>
          </w:p>
        </w:tc>
        <w:tc>
          <w:tcPr>
            <w:tcW w:type="dxa" w:w="1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Tolerable Downtime</w:t>
            </w:r>
          </w:p>
        </w:tc>
        <w:tc>
          <w:tcPr>
            <w:tcW w:type="dxa" w:w="4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Continuity Plan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Stripe (Payment)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CRITICAL</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30 min</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Auto-failover to Adyen (secondary PSP). Circuit breaker triggers after 3 consecutive failures. Adyen credentials in Secrets Manager.</w:t>
            </w:r>
          </w:p>
        </w:tc>
      </w:tr>
      <w:tr>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FedEx / UPS (Logistics)</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C55A11"/>
                <w:sz w:val="18"/>
                <w:szCs w:val="18"/>
              </w:rPr>
              <w:t xml:space="preserve">HIGH</w:t>
            </w:r>
          </w:p>
        </w:tc>
        <w:tc>
          <w:tcPr>
            <w:tcW w:type="dxa" w:w="1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2 hours</w:t>
            </w:r>
          </w:p>
        </w:tc>
        <w:tc>
          <w:tcPr>
            <w:tcW w:type="dxa" w:w="4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Failover to secondary carrier API. Manual WMS hold for orders &gt;2 hours.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Direct Connect (WMS)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55A11"/>
                <w:sz w:val="18"/>
                <w:szCs w:val="18"/>
              </w:rPr>
              <w:t xml:space="preserve">HIGH</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4 hours</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Site-to-Site VPN failover. WMS sync paused; orders held. Manual fulfillment available.</w:t>
            </w:r>
          </w:p>
        </w:tc>
      </w:tr>
      <w:tr>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Amazon SES (Email)</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24 hours</w:t>
            </w:r>
          </w:p>
        </w:tc>
        <w:tc>
          <w:tcPr>
            <w:tcW w:type="dxa" w:w="4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SQS queuing with 24-hour retry. Non-blocking to checkout. Email delay acceptable.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Kount (Fraud)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55A11"/>
                <w:sz w:val="18"/>
                <w:szCs w:val="18"/>
              </w:rPr>
              <w:t xml:space="preserve">HIGH</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&lt; 2 hours</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Timeout &gt;2s: optimistic allow + manual review flag. No orders blocked due to Kount outage.</w:t>
            </w:r>
          </w:p>
        </w:tc>
      </w:tr>
    </w:tbl>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2026-06-15T06:55:46.790Z</dcterms:created>
  <dcterms:modified xsi:type="dcterms:W3CDTF">2026-06-15T06:55:46.790Z</dcterms:modified>
</cp:coreProperties>
</file>

<file path=docProps/custom.xml><?xml version="1.0" encoding="utf-8"?>
<Properties xmlns="http://schemas.openxmlformats.org/officeDocument/2006/custom-properties" xmlns:vt="http://schemas.openxmlformats.org/officeDocument/2006/docPropsVTypes"/>
</file>