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Workload Ownership Charter</w:t>
      </w:r>
    </w:p>
    <w:p>
      <w:pPr>
        <w:spacing w:after="60"/>
        <w:jc w:val="center"/>
      </w:pPr>
      <w:r>
        <w:rPr>
          <w:rFonts w:ascii="Arial" w:cs="Arial" w:eastAsia="Arial" w:hAnsi="Arial"/>
          <w:color w:val="2E75B6"/>
          <w:sz w:val="26"/>
          <w:szCs w:val="26"/>
        </w:rPr>
        <w:t xml:space="preserve">Accountability &amp; Governance — Acme Retail Platform</w:t>
      </w:r>
    </w:p>
    <w:p>
      <w:pPr>
        <w:spacing w:after="180"/>
        <w:jc w:val="center"/>
      </w:pPr>
      <w:r>
        <w:rPr>
          <w:rFonts w:ascii="Arial" w:cs="Arial" w:eastAsia="Arial" w:hAnsi="Arial"/>
          <w:color w:val="888888"/>
          <w:sz w:val="18"/>
          <w:szCs w:val="18"/>
        </w:rPr>
        <w:t xml:space="preserve">v1.2  |  February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w:t>
      </w:r>
    </w:p>
    <w:p>
      <w:pPr>
        <w:pBdr>
          <w:bottom w:val="single" w:color="2E75B6" w:sz="4" w:space="1"/>
        </w:pBdr>
        <w:spacing w:after="100"/>
      </w:pPr>
    </w:p>
    <w:p>
      <w:pPr>
        <w:spacing w:after="80"/>
      </w:pPr>
      <w:r>
        <w:rPr>
          <w:rFonts w:ascii="Arial" w:cs="Arial" w:eastAsia="Arial" w:hAnsi="Arial"/>
          <w:color w:val="404040"/>
          <w:sz w:val="20"/>
          <w:szCs w:val="20"/>
        </w:rPr>
        <w:t xml:space="preserve">This Workload Ownership Charter formally establishes accountability, authority, and operational responsibilities for the Acme Retail Platform workload. It defines who owns what, who decides what, and how decisions are escalated. The charter must be agreed by all named parties and is the foundational governance document for this workload.</w:t>
      </w:r>
    </w:p>
    <w:p>
      <w:pPr>
        <w:spacing w:after="80"/>
      </w:pPr>
      <w:r>
        <w:t xml:space="preserve"/>
      </w:r>
    </w:p>
    <w:p>
      <w:pPr>
        <w:pStyle w:val="Heading1"/>
        <w:spacing w:after="100" w:before="260"/>
      </w:pPr>
      <w:r>
        <w:rPr>
          <w:rFonts w:ascii="Arial" w:cs="Arial" w:eastAsia="Arial" w:hAnsi="Arial"/>
          <w:b/>
          <w:bCs/>
          <w:color w:val="1B3A6B"/>
          <w:sz w:val="28"/>
          <w:szCs w:val="28"/>
        </w:rPr>
        <w:t xml:space="preserve">2. Workload Identity</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Workload Name</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Acme Retail Platform</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Production Account</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123456789012 (us-east-1)  |  DR Account: 111222333444 (us-west-2)</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Staging Account</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222333444555 (us-east-1)</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Criticality Tier</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CRITICAL — Tier 1 (Revenue-generating, customer-facing)</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Lifecycle Stage</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Production — Live. Architecture changes require CAB approval.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Cloud Provider</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Amazon Web Services (AWS) — Business Support Plan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Engagement</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 Statement of Work v1.2, effective 1 January 2025</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3. Ownership Structure</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000"/>
      </w:tblGrid>
      <w:tr>
        <w:tc>
          <w:tcPr>
            <w:tcW w:type="dxa" w:w="2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Role</w:t>
            </w:r>
          </w:p>
        </w:tc>
        <w:tc>
          <w:tcPr>
            <w:tcW w:type="dxa" w:w="2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Name</w:t>
            </w:r>
          </w:p>
        </w:tc>
        <w:tc>
          <w:tcPr>
            <w:tcW w:type="dxa" w:w="2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Organisation &amp; Title</w:t>
            </w:r>
          </w:p>
        </w:tc>
        <w:tc>
          <w:tcPr>
            <w:tcW w:type="dxa" w:w="3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Authority &amp; Responsibilities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
VP Digital Commerce</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Ultimate business authority. Signs off: DR invocation, data disposal, compliance decisions, budget approval &gt;$2k, deployment freezes.</w:t>
            </w:r>
          </w:p>
        </w:tc>
      </w:tr>
      <w:tr>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
Platform Lead</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Technical authority. Approves architecture changes, IAM changes, security exceptions, production deployments, MSP procedures.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Operations Owner (MSP)</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 Account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Responsible for 24×7 operational management. Authority over monitoring, alerting, incident response within agreed runbook. Escalates out-of-runbook actions to Technical Owner.</w:t>
            </w:r>
          </w:p>
        </w:tc>
      </w:tr>
      <w:tr>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Security Owner</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Mei Chen</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
Security Lead</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Authority over security controls and exceptions. Must approve: IAM policy changes, WAF rule changes, Security Hub deviation requests.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Database Owner</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Ray Tanaka</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
DBA</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Authority over RDS schema changes, parameter groups, backup restore approvals. MSP DB operations require explicit approval from Ray Tanaka or James Okonkwo.</w:t>
            </w:r>
          </w:p>
        </w:tc>
      </w:tr>
      <w:tr>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Engineering Lead / Deputy</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Priya Nair</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
Senior SRE</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Day-to-day MSP technical point of contact. Provides guidance for incident resolution. Acts as Deputy Technical Owner in James Okonkwo's absence.</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4. Decision Authority Matrix</w:t>
      </w:r>
    </w:p>
    <w:p>
      <w:pPr>
        <w:pBdr>
          <w:bottom w:val="single" w:color="2E75B6" w:sz="4" w:space="1"/>
        </w:pBdr>
        <w:spacing w:after="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800"/>
      </w:tblGrid>
      <w:tr>
        <w:tc>
          <w:tcPr>
            <w:tcW w:type="dxa" w:w="3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Decision</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Business Owner</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Technical Owner</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MSP Account Lead</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MSP On-Call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Declare P1 Incident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Informed</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Informed</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r>
      <w:tr>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Invoke DR Failover</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Consulted</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 Production Deployment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 IAM Changes</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 Security Exception</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Consulted</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 AWS Spend &gt;$2,000</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Informed</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Emergency Patching (Critical CVE)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r>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 Data Disposal</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Accountable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Responsible</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Informed</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5. Governance Commitments</w:t>
      </w:r>
    </w:p>
    <w:p>
      <w:pPr>
        <w:pBdr>
          <w:bottom w:val="single" w:color="2E75B6" w:sz="4" w:space="1"/>
        </w:pBdr>
        <w:spacing w:after="100"/>
      </w:pPr>
    </w:p>
    <w:p>
      <w:pPr>
        <w:pStyle w:val="Heading2"/>
        <w:spacing w:after="80" w:before="180"/>
      </w:pPr>
      <w:r>
        <w:rPr>
          <w:rFonts w:ascii="Arial" w:cs="Arial" w:eastAsia="Arial" w:hAnsi="Arial"/>
          <w:b/>
          <w:bCs/>
          <w:color w:val="2E75B6"/>
          <w:sz w:val="24"/>
          <w:szCs w:val="24"/>
        </w:rPr>
        <w:t xml:space="preserve">5.1  Customer Commitments</w:t>
      </w:r>
    </w:p>
    <w:p>
      <w:pPr>
        <w:pStyle w:val="ListParagraph"/>
        <w:numPr>
          <w:ilvl w:val="0"/>
          <w:numId w:val="2"/>
        </w:numPr>
        <w:spacing w:after="60"/>
      </w:pPr>
      <w:r>
        <w:rPr>
          <w:rFonts w:ascii="Arial" w:cs="Arial" w:eastAsia="Arial" w:hAnsi="Arial"/>
          <w:sz w:val="20"/>
          <w:szCs w:val="20"/>
        </w:rPr>
        <w:t xml:space="preserve">Technical Owner (James Okonkwo) or Deputy (Priya Nair) reachable within 2 hours of P1 escalation at all times.</w:t>
      </w:r>
    </w:p>
    <w:p>
      <w:pPr>
        <w:pStyle w:val="ListParagraph"/>
        <w:numPr>
          <w:ilvl w:val="0"/>
          <w:numId w:val="2"/>
        </w:numPr>
        <w:spacing w:after="60"/>
      </w:pPr>
      <w:r>
        <w:rPr>
          <w:rFonts w:ascii="Arial" w:cs="Arial" w:eastAsia="Arial" w:hAnsi="Arial"/>
          <w:sz w:val="20"/>
          <w:szCs w:val="20"/>
        </w:rPr>
        <w:t xml:space="preserve">Business Owner (Linda Park) reachable within 4 hours for DR invocation decisions.</w:t>
      </w:r>
    </w:p>
    <w:p>
      <w:pPr>
        <w:pStyle w:val="ListParagraph"/>
        <w:numPr>
          <w:ilvl w:val="0"/>
          <w:numId w:val="2"/>
        </w:numPr>
        <w:spacing w:after="60"/>
      </w:pPr>
      <w:r>
        <w:rPr>
          <w:rFonts w:ascii="Arial" w:cs="Arial" w:eastAsia="Arial" w:hAnsi="Arial"/>
          <w:sz w:val="20"/>
          <w:szCs w:val="20"/>
        </w:rPr>
        <w:t xml:space="preserve">Change requests reviewed and approved/rejected within 48 hours of MSP submission.</w:t>
      </w:r>
    </w:p>
    <w:p>
      <w:pPr>
        <w:pStyle w:val="ListParagraph"/>
        <w:numPr>
          <w:ilvl w:val="0"/>
          <w:numId w:val="2"/>
        </w:numPr>
        <w:spacing w:after="60"/>
      </w:pPr>
      <w:r>
        <w:rPr>
          <w:rFonts w:ascii="Arial" w:cs="Arial" w:eastAsia="Arial" w:hAnsi="Arial"/>
          <w:sz w:val="20"/>
          <w:szCs w:val="20"/>
        </w:rPr>
        <w:t xml:space="preserve">Customer notifies MSP of planned events (Black Friday, etc.) at least 4 weeks in advance.</w:t>
      </w:r>
    </w:p>
    <w:p>
      <w:pPr>
        <w:pStyle w:val="ListParagraph"/>
        <w:numPr>
          <w:ilvl w:val="0"/>
          <w:numId w:val="2"/>
        </w:numPr>
        <w:spacing w:after="60"/>
      </w:pPr>
      <w:r>
        <w:rPr>
          <w:rFonts w:ascii="Arial" w:cs="Arial" w:eastAsia="Arial" w:hAnsi="Arial"/>
          <w:sz w:val="20"/>
          <w:szCs w:val="20"/>
        </w:rPr>
        <w:t xml:space="preserve">Customer participates in quarterly DR tabletop exercises and annual full DR drill.</w:t>
      </w:r>
    </w:p>
    <w:p>
      <w:pPr>
        <w:spacing w:after="80"/>
      </w:pPr>
      <w:r>
        <w:t xml:space="preserve"/>
      </w:r>
    </w:p>
    <w:p>
      <w:pPr>
        <w:pStyle w:val="Heading2"/>
        <w:spacing w:after="80" w:before="180"/>
      </w:pPr>
      <w:r>
        <w:rPr>
          <w:rFonts w:ascii="Arial" w:cs="Arial" w:eastAsia="Arial" w:hAnsi="Arial"/>
          <w:b/>
          <w:bCs/>
          <w:color w:val="2E75B6"/>
          <w:sz w:val="24"/>
          <w:szCs w:val="24"/>
        </w:rPr>
        <w:t xml:space="preserve">5.2  MSP Commitments</w:t>
      </w:r>
    </w:p>
    <w:p>
      <w:pPr>
        <w:pStyle w:val="ListParagraph"/>
        <w:numPr>
          <w:ilvl w:val="0"/>
          <w:numId w:val="2"/>
        </w:numPr>
        <w:spacing w:after="60"/>
      </w:pPr>
      <w:r>
        <w:rPr>
          <w:rFonts w:ascii="Arial" w:cs="Arial" w:eastAsia="Arial" w:hAnsi="Arial"/>
          <w:sz w:val="20"/>
          <w:szCs w:val="20"/>
        </w:rPr>
        <w:t xml:space="preserve">Operations Owner (Sarah Mitchell) available as named contact during business hours; PagerDuty on-call 24×7.</w:t>
      </w:r>
    </w:p>
    <w:p>
      <w:pPr>
        <w:pStyle w:val="ListParagraph"/>
        <w:numPr>
          <w:ilvl w:val="0"/>
          <w:numId w:val="2"/>
        </w:numPr>
        <w:spacing w:after="60"/>
      </w:pPr>
      <w:r>
        <w:rPr>
          <w:rFonts w:ascii="Arial" w:cs="Arial" w:eastAsia="Arial" w:hAnsi="Arial"/>
          <w:sz w:val="20"/>
          <w:szCs w:val="20"/>
        </w:rPr>
        <w:t xml:space="preserve">MSP maintains this charter and all referenced documents, updating within 10 business days of any change.</w:t>
      </w:r>
    </w:p>
    <w:p>
      <w:pPr>
        <w:pStyle w:val="ListParagraph"/>
        <w:numPr>
          <w:ilvl w:val="0"/>
          <w:numId w:val="2"/>
        </w:numPr>
        <w:spacing w:after="60"/>
      </w:pPr>
      <w:r>
        <w:rPr>
          <w:rFonts w:ascii="Arial" w:cs="Arial" w:eastAsia="Arial" w:hAnsi="Arial"/>
          <w:sz w:val="20"/>
          <w:szCs w:val="20"/>
        </w:rPr>
        <w:t xml:space="preserve">MSP provides monthly Operational Review and quarterly executive report per SOW.</w:t>
      </w:r>
    </w:p>
    <w:p>
      <w:pPr>
        <w:pStyle w:val="ListParagraph"/>
        <w:numPr>
          <w:ilvl w:val="0"/>
          <w:numId w:val="2"/>
        </w:numPr>
        <w:spacing w:after="60"/>
      </w:pPr>
      <w:r>
        <w:rPr>
          <w:rFonts w:ascii="Arial" w:cs="Arial" w:eastAsia="Arial" w:hAnsi="Arial"/>
          <w:sz w:val="20"/>
          <w:szCs w:val="20"/>
        </w:rPr>
        <w:t xml:space="preserve">MSP will not take actions outside the agreed runbook without explicit Technical Owner approval.</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2026-06-15T06:59:49.541Z</dcterms:created>
  <dcterms:modified xsi:type="dcterms:W3CDTF">2026-06-15T06:59:49.541Z</dcterms:modified>
</cp:coreProperties>
</file>

<file path=docProps/custom.xml><?xml version="1.0" encoding="utf-8"?>
<Properties xmlns="http://schemas.openxmlformats.org/officeDocument/2006/custom-properties" xmlns:vt="http://schemas.openxmlformats.org/officeDocument/2006/docPropsVTypes"/>
</file>