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B3A6B"/>
          <w:sz w:val="52"/>
          <w:szCs w:val="52"/>
        </w:rPr>
        <w:t xml:space="preserve">Backup Policy</w:t>
      </w:r>
    </w:p>
    <w:p>
      <w:pPr>
        <w:spacing w:after="60"/>
        <w:jc w:val="center"/>
      </w:pPr>
      <w:r>
        <w:rPr>
          <w:rFonts w:ascii="Arial" w:cs="Arial" w:eastAsia="Arial" w:hAnsi="Arial"/>
          <w:color w:val="2E75B6"/>
          <w:sz w:val="26"/>
          <w:szCs w:val="26"/>
        </w:rPr>
        <w:t xml:space="preserve">Data Protection &amp; Recovery Policy — Acme Retail Platform</w:t>
      </w:r>
    </w:p>
    <w:p>
      <w:pPr>
        <w:spacing w:after="180"/>
        <w:jc w:val="center"/>
      </w:pPr>
      <w:r>
        <w:rPr>
          <w:rFonts w:ascii="Arial" w:cs="Arial" w:eastAsia="Arial" w:hAnsi="Arial"/>
          <w:color w:val="888888"/>
          <w:sz w:val="18"/>
          <w:szCs w:val="18"/>
        </w:rPr>
        <w:t xml:space="preserve">v1.1  |  March 2025  |  INTERNAL – CONFIDENTIAL</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2700"/>
        <w:gridCol w:w="2800"/>
      </w:tblGrid>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Customer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Prepared by</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Cloud Operations Team (MSP)</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Business Owner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Linda Park – VP Digital Commerce</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Technical Owner</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James Okonkwo – Platform Lead</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MSP Lead</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Sarah Mitchell – Account Lead</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Classification</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Internal – Confidential</w:t>
            </w:r>
          </w:p>
        </w:tc>
      </w:tr>
    </w:tbl>
    <w:p>
      <w:pPr>
        <w:spacing w:after="180"/>
      </w:pPr>
      <w:r>
        <w:t xml:space="preserve"/>
      </w:r>
    </w:p>
    <w:p>
      <w:pPr>
        <w:pStyle w:val="Heading1"/>
        <w:spacing w:after="100" w:before="260"/>
      </w:pPr>
      <w:r>
        <w:rPr>
          <w:rFonts w:ascii="Arial" w:cs="Arial" w:eastAsia="Arial" w:hAnsi="Arial"/>
          <w:b/>
          <w:bCs/>
          <w:color w:val="1B3A6B"/>
          <w:sz w:val="28"/>
          <w:szCs w:val="28"/>
        </w:rPr>
        <w:t xml:space="preserve">1. Purpose &amp; Scope</w:t>
      </w:r>
    </w:p>
    <w:p>
      <w:pPr>
        <w:pBdr>
          <w:bottom w:val="single" w:color="2E75B6" w:sz="4" w:space="1"/>
        </w:pBdr>
        <w:spacing w:after="100"/>
      </w:pPr>
    </w:p>
    <w:p>
      <w:pPr>
        <w:spacing w:after="80"/>
      </w:pPr>
      <w:r>
        <w:rPr>
          <w:rFonts w:ascii="Arial" w:cs="Arial" w:eastAsia="Arial" w:hAnsi="Arial"/>
          <w:color w:val="404040"/>
          <w:sz w:val="20"/>
          <w:szCs w:val="20"/>
        </w:rPr>
        <w:t xml:space="preserve">This Backup Policy defines the mandatory requirements for backup configuration, retention, validation, and recovery testing for the Acme Retail Platform production workload. It establishes minimum standards MSP must implement and the obligations of both parties in maintaining backup integrity.</w:t>
      </w:r>
    </w:p>
    <w:p>
      <w:pPr>
        <w:spacing w:after="80"/>
      </w:pPr>
      <w:r>
        <w:rPr>
          <w:rFonts w:ascii="Arial" w:cs="Arial" w:eastAsia="Arial" w:hAnsi="Arial"/>
          <w:color w:val="404040"/>
          <w:sz w:val="20"/>
          <w:szCs w:val="20"/>
        </w:rPr>
        <w:t xml:space="preserve">Scope: all persistent data stores in the production AWS account (123456789012). Staging and development are excluded.</w:t>
      </w:r>
    </w:p>
    <w:p>
      <w:pPr>
        <w:spacing w:after="80"/>
      </w:pPr>
      <w:r>
        <w:t xml:space="preserve"/>
      </w:r>
    </w:p>
    <w:p>
      <w:pPr>
        <w:pStyle w:val="Heading1"/>
        <w:spacing w:after="100" w:before="260"/>
      </w:pPr>
      <w:r>
        <w:rPr>
          <w:rFonts w:ascii="Arial" w:cs="Arial" w:eastAsia="Arial" w:hAnsi="Arial"/>
          <w:b/>
          <w:bCs/>
          <w:color w:val="1B3A6B"/>
          <w:sz w:val="28"/>
          <w:szCs w:val="28"/>
        </w:rPr>
        <w:t xml:space="preserve">2. Policy Statements</w:t>
      </w:r>
    </w:p>
    <w:p>
      <w:pPr>
        <w:pBdr>
          <w:bottom w:val="single" w:color="2E75B6" w:sz="4" w:space="1"/>
        </w:pBdr>
        <w:spacing w:after="100"/>
      </w:pPr>
    </w:p>
    <w:p>
      <w:pPr>
        <w:pStyle w:val="Heading2"/>
        <w:spacing w:after="80" w:before="180"/>
      </w:pPr>
      <w:r>
        <w:rPr>
          <w:rFonts w:ascii="Arial" w:cs="Arial" w:eastAsia="Arial" w:hAnsi="Arial"/>
          <w:b/>
          <w:bCs/>
          <w:color w:val="2E75B6"/>
          <w:sz w:val="24"/>
          <w:szCs w:val="24"/>
        </w:rPr>
        <w:t xml:space="preserve">2.1  Backup Coverage</w:t>
      </w:r>
    </w:p>
    <w:p>
      <w:pPr>
        <w:pStyle w:val="ListParagraph"/>
        <w:numPr>
          <w:ilvl w:val="0"/>
          <w:numId w:val="2"/>
        </w:numPr>
        <w:spacing w:after="60"/>
      </w:pPr>
      <w:r>
        <w:rPr>
          <w:rFonts w:ascii="Arial" w:cs="Arial" w:eastAsia="Arial" w:hAnsi="Arial"/>
          <w:sz w:val="20"/>
          <w:szCs w:val="20"/>
        </w:rPr>
        <w:t xml:space="preserve">All RESTRICTED and CONFIDENTIAL data stores must have automated backup configured at all times. Manual-only backup is not acceptable for Tier 1 or Tier 2 criticality components.</w:t>
      </w:r>
    </w:p>
    <w:p>
      <w:pPr>
        <w:pStyle w:val="ListParagraph"/>
        <w:numPr>
          <w:ilvl w:val="0"/>
          <w:numId w:val="2"/>
        </w:numPr>
        <w:spacing w:after="60"/>
      </w:pPr>
      <w:r>
        <w:rPr>
          <w:rFonts w:ascii="Arial" w:cs="Arial" w:eastAsia="Arial" w:hAnsi="Arial"/>
          <w:sz w:val="20"/>
          <w:szCs w:val="20"/>
        </w:rPr>
        <w:t xml:space="preserve">Backup must be independent of the primary data store — same-location backup does not satisfy this policy.</w:t>
      </w:r>
    </w:p>
    <w:p>
      <w:pPr>
        <w:pStyle w:val="ListParagraph"/>
        <w:numPr>
          <w:ilvl w:val="0"/>
          <w:numId w:val="2"/>
        </w:numPr>
        <w:spacing w:after="60"/>
      </w:pPr>
      <w:r>
        <w:rPr>
          <w:rFonts w:ascii="Arial" w:cs="Arial" w:eastAsia="Arial" w:hAnsi="Arial"/>
          <w:sz w:val="20"/>
          <w:szCs w:val="20"/>
        </w:rPr>
        <w:t xml:space="preserve">All backup solutions must support point-in-time recovery (PITR) for transactional stores where technically feasible. Minimum: daily snapshot for all others.</w:t>
      </w:r>
    </w:p>
    <w:p>
      <w:pPr>
        <w:spacing w:after="80"/>
      </w:pPr>
      <w:r>
        <w:t xml:space="preserve"/>
      </w:r>
    </w:p>
    <w:p>
      <w:pPr>
        <w:pStyle w:val="Heading2"/>
        <w:spacing w:after="80" w:before="180"/>
      </w:pPr>
      <w:r>
        <w:rPr>
          <w:rFonts w:ascii="Arial" w:cs="Arial" w:eastAsia="Arial" w:hAnsi="Arial"/>
          <w:b/>
          <w:bCs/>
          <w:color w:val="2E75B6"/>
          <w:sz w:val="24"/>
          <w:szCs w:val="24"/>
        </w:rPr>
        <w:t xml:space="preserve">2.2  Cross-Region Backup</w:t>
      </w:r>
    </w:p>
    <w:p>
      <w:pPr>
        <w:pStyle w:val="ListParagraph"/>
        <w:numPr>
          <w:ilvl w:val="0"/>
          <w:numId w:val="2"/>
        </w:numPr>
        <w:spacing w:after="60"/>
      </w:pPr>
      <w:r>
        <w:rPr>
          <w:rFonts w:ascii="Arial" w:cs="Arial" w:eastAsia="Arial" w:hAnsi="Arial"/>
          <w:sz w:val="20"/>
          <w:szCs w:val="20"/>
        </w:rPr>
        <w:t xml:space="preserve">All RESTRICTED data at Tier 1 criticality (orders, customers) must have cross-region backup in us-west-2 to support the 4-hour RTO.</w:t>
      </w:r>
    </w:p>
    <w:p>
      <w:pPr>
        <w:pStyle w:val="ListParagraph"/>
        <w:numPr>
          <w:ilvl w:val="0"/>
          <w:numId w:val="2"/>
        </w:numPr>
        <w:spacing w:after="60"/>
      </w:pPr>
      <w:r>
        <w:rPr>
          <w:rFonts w:ascii="Arial" w:cs="Arial" w:eastAsia="Arial" w:hAnsi="Arial"/>
          <w:sz w:val="20"/>
          <w:szCs w:val="20"/>
        </w:rPr>
        <w:t xml:space="preserve">Cross-region replication validated as functional during each quarterly DR review. Lag monitored; &gt;5 min triggers P2 alarm.</w:t>
      </w:r>
    </w:p>
    <w:p>
      <w:pPr>
        <w:spacing w:after="80"/>
      </w:pPr>
      <w:r>
        <w:t xml:space="preserve"/>
      </w:r>
    </w:p>
    <w:p>
      <w:pPr>
        <w:pStyle w:val="Heading2"/>
        <w:spacing w:after="80" w:before="180"/>
      </w:pPr>
      <w:r>
        <w:rPr>
          <w:rFonts w:ascii="Arial" w:cs="Arial" w:eastAsia="Arial" w:hAnsi="Arial"/>
          <w:b/>
          <w:bCs/>
          <w:color w:val="2E75B6"/>
          <w:sz w:val="24"/>
          <w:szCs w:val="24"/>
        </w:rPr>
        <w:t xml:space="preserve">2.3  Encryption</w:t>
      </w:r>
    </w:p>
    <w:p>
      <w:pPr>
        <w:pStyle w:val="ListParagraph"/>
        <w:numPr>
          <w:ilvl w:val="0"/>
          <w:numId w:val="2"/>
        </w:numPr>
        <w:spacing w:after="60"/>
      </w:pPr>
      <w:r>
        <w:rPr>
          <w:rFonts w:ascii="Arial" w:cs="Arial" w:eastAsia="Arial" w:hAnsi="Arial"/>
          <w:sz w:val="20"/>
          <w:szCs w:val="20"/>
        </w:rPr>
        <w:t xml:space="preserve">All backups must be encrypted at rest using KMS. Unencrypted backups are prohibited.</w:t>
      </w:r>
    </w:p>
    <w:p>
      <w:pPr>
        <w:pStyle w:val="ListParagraph"/>
        <w:numPr>
          <w:ilvl w:val="0"/>
          <w:numId w:val="2"/>
        </w:numPr>
        <w:spacing w:after="60"/>
      </w:pPr>
      <w:r>
        <w:rPr>
          <w:rFonts w:ascii="Arial" w:cs="Arial" w:eastAsia="Arial" w:hAnsi="Arial"/>
          <w:sz w:val="20"/>
          <w:szCs w:val="20"/>
        </w:rPr>
        <w:t xml:space="preserve">Backup encryption key must be distinct from the primary data store key where technically feasible.</w:t>
      </w:r>
    </w:p>
    <w:p>
      <w:pPr>
        <w:spacing w:after="80"/>
      </w:pPr>
      <w:r>
        <w:t xml:space="preserve"/>
      </w:r>
    </w:p>
    <w:p>
      <w:pPr>
        <w:pStyle w:val="Heading2"/>
        <w:spacing w:after="80" w:before="180"/>
      </w:pPr>
      <w:r>
        <w:rPr>
          <w:rFonts w:ascii="Arial" w:cs="Arial" w:eastAsia="Arial" w:hAnsi="Arial"/>
          <w:b/>
          <w:bCs/>
          <w:color w:val="2E75B6"/>
          <w:sz w:val="24"/>
          <w:szCs w:val="24"/>
        </w:rPr>
        <w:t xml:space="preserve">2.4  Retention Periods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600"/>
      </w:tblGrid>
      <w:tr>
        <w:tc>
          <w:tcPr>
            <w:tcW w:type="dxa" w:w="30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Data Classification</w:t>
            </w:r>
          </w:p>
        </w:tc>
        <w:tc>
          <w:tcPr>
            <w:tcW w:type="dxa" w:w="1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Minimum Retention</w:t>
            </w:r>
          </w:p>
        </w:tc>
        <w:tc>
          <w:tcPr>
            <w:tcW w:type="dxa" w:w="46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Regulatory Basis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RESTRICTED (PII, Orders, Payment-adjacent)</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7 years</w:t>
            </w:r>
          </w:p>
        </w:tc>
        <w:tc>
          <w:tcPr>
            <w:tcW w:type="dxa" w:w="4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PCI-DSS, Finance/Tax law, GDPR data controller requirement</w:t>
            </w:r>
          </w:p>
        </w:tc>
      </w:tr>
      <w:tr>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CONFIDENTIAL (Business data)</w:t>
            </w:r>
          </w:p>
        </w:tc>
        <w:tc>
          <w:tcPr>
            <w:tcW w:type="dxa" w:w="1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5 years</w:t>
            </w:r>
          </w:p>
        </w:tc>
        <w:tc>
          <w:tcPr>
            <w:tcW w:type="dxa" w:w="46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Finance policy, contractual obligations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INTERNAL (Config, Infrastructure, Logs)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Engagement duration + 1 year</w:t>
            </w:r>
          </w:p>
        </w:tc>
        <w:tc>
          <w:tcPr>
            <w:tcW w:type="dxa" w:w="4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MSP contractual obligation, operational audit trail</w:t>
            </w:r>
          </w:p>
        </w:tc>
      </w:tr>
    </w:tbl>
    <w:p>
      <w:pPr>
        <w:spacing w:after="80"/>
      </w:pPr>
      <w:r>
        <w:t xml:space="preserve"/>
      </w:r>
    </w:p>
    <w:p>
      <w:pPr>
        <w:pStyle w:val="Heading2"/>
        <w:spacing w:after="80" w:before="180"/>
      </w:pPr>
      <w:r>
        <w:rPr>
          <w:rFonts w:ascii="Arial" w:cs="Arial" w:eastAsia="Arial" w:hAnsi="Arial"/>
          <w:b/>
          <w:bCs/>
          <w:color w:val="2E75B6"/>
          <w:sz w:val="24"/>
          <w:szCs w:val="24"/>
        </w:rPr>
        <w:t xml:space="preserve">2.5  Backup Validation</w:t>
      </w:r>
    </w:p>
    <w:p>
      <w:pPr>
        <w:pStyle w:val="ListParagraph"/>
        <w:numPr>
          <w:ilvl w:val="0"/>
          <w:numId w:val="2"/>
        </w:numPr>
        <w:spacing w:after="60"/>
      </w:pPr>
      <w:r>
        <w:rPr>
          <w:rFonts w:ascii="Arial" w:cs="Arial" w:eastAsia="Arial" w:hAnsi="Arial"/>
          <w:sz w:val="20"/>
          <w:szCs w:val="20"/>
        </w:rPr>
        <w:t xml:space="preserve">Monthly: MSP performs RDS restore test to isolated VPC. Must confirm: completes within RTO, row counts match within 0.1%, app health check passes. Certificate issued within 5 business days.</w:t>
      </w:r>
    </w:p>
    <w:p>
      <w:pPr>
        <w:pStyle w:val="ListParagraph"/>
        <w:numPr>
          <w:ilvl w:val="0"/>
          <w:numId w:val="2"/>
        </w:numPr>
        <w:spacing w:after="60"/>
      </w:pPr>
      <w:r>
        <w:rPr>
          <w:rFonts w:ascii="Arial" w:cs="Arial" w:eastAsia="Arial" w:hAnsi="Arial"/>
          <w:sz w:val="20"/>
          <w:szCs w:val="20"/>
        </w:rPr>
        <w:t xml:space="preserve">Quarterly: backup validation report delivered to Customer Platform Lead.</w:t>
      </w:r>
    </w:p>
    <w:p>
      <w:pPr>
        <w:pStyle w:val="ListParagraph"/>
        <w:numPr>
          <w:ilvl w:val="0"/>
          <w:numId w:val="2"/>
        </w:numPr>
        <w:spacing w:after="60"/>
      </w:pPr>
      <w:r>
        <w:rPr>
          <w:rFonts w:ascii="Arial" w:cs="Arial" w:eastAsia="Arial" w:hAnsi="Arial"/>
          <w:sz w:val="20"/>
          <w:szCs w:val="20"/>
        </w:rPr>
        <w:t xml:space="preserve">Annual: all stores in the Backup Plan register must have been tested at least once per year.</w:t>
      </w:r>
    </w:p>
    <w:p>
      <w:pPr>
        <w:pStyle w:val="ListParagraph"/>
        <w:numPr>
          <w:ilvl w:val="0"/>
          <w:numId w:val="2"/>
        </w:numPr>
        <w:spacing w:after="60"/>
      </w:pPr>
      <w:r>
        <w:rPr>
          <w:rFonts w:ascii="Arial" w:cs="Arial" w:eastAsia="Arial" w:hAnsi="Arial"/>
          <w:sz w:val="20"/>
          <w:szCs w:val="20"/>
        </w:rPr>
        <w:t xml:space="preserve">FAIL outcomes: P2 Jira ticket with remediation plan, resolved within 10 business days.</w:t>
      </w:r>
    </w:p>
    <w:p>
      <w:pPr>
        <w:spacing w:after="80"/>
      </w:pPr>
      <w:r>
        <w:t xml:space="preserve"/>
      </w:r>
    </w:p>
    <w:p>
      <w:pPr>
        <w:pStyle w:val="Heading2"/>
        <w:spacing w:after="80" w:before="180"/>
      </w:pPr>
      <w:r>
        <w:rPr>
          <w:rFonts w:ascii="Arial" w:cs="Arial" w:eastAsia="Arial" w:hAnsi="Arial"/>
          <w:b/>
          <w:bCs/>
          <w:color w:val="2E75B6"/>
          <w:sz w:val="24"/>
          <w:szCs w:val="24"/>
        </w:rPr>
        <w:t xml:space="preserve">2.6  Backup Monitoring</w:t>
      </w:r>
    </w:p>
    <w:p>
      <w:pPr>
        <w:pStyle w:val="ListParagraph"/>
        <w:numPr>
          <w:ilvl w:val="0"/>
          <w:numId w:val="2"/>
        </w:numPr>
        <w:spacing w:after="60"/>
      </w:pPr>
      <w:r>
        <w:rPr>
          <w:rFonts w:ascii="Arial" w:cs="Arial" w:eastAsia="Arial" w:hAnsi="Arial"/>
          <w:sz w:val="20"/>
          <w:szCs w:val="20"/>
        </w:rPr>
        <w:t xml:space="preserve">AWS Backup and RDS backup status checked daily by MSP automated tooling. Missed scheduled backup triggers P3 PagerDuty alert.</w:t>
      </w:r>
    </w:p>
    <w:p>
      <w:pPr>
        <w:pStyle w:val="ListParagraph"/>
        <w:numPr>
          <w:ilvl w:val="0"/>
          <w:numId w:val="2"/>
        </w:numPr>
        <w:spacing w:after="60"/>
      </w:pPr>
      <w:r>
        <w:rPr>
          <w:rFonts w:ascii="Arial" w:cs="Arial" w:eastAsia="Arial" w:hAnsi="Arial"/>
          <w:sz w:val="20"/>
          <w:szCs w:val="20"/>
        </w:rPr>
        <w:t xml:space="preserve">RDS backup window must not conflict with maintenance windows or peak traffic periods.</w:t>
      </w:r>
    </w:p>
    <w:p>
      <w:pPr>
        <w:pStyle w:val="ListParagraph"/>
        <w:numPr>
          <w:ilvl w:val="0"/>
          <w:numId w:val="2"/>
        </w:numPr>
        <w:spacing w:after="60"/>
      </w:pPr>
      <w:r>
        <w:rPr>
          <w:rFonts w:ascii="Arial" w:cs="Arial" w:eastAsia="Arial" w:hAnsi="Arial"/>
          <w:sz w:val="20"/>
          <w:szCs w:val="20"/>
        </w:rPr>
        <w:t xml:space="preserve">S3 replication latency monitored; ReplicationLatency &gt;5 min triggers CloudWatch alarm.</w:t>
      </w:r>
    </w:p>
    <w:p>
      <w:pPr>
        <w:spacing w:after="80"/>
      </w:pPr>
      <w:r>
        <w:t xml:space="preserve"/>
      </w:r>
    </w:p>
    <w:p>
      <w:pPr>
        <w:pStyle w:val="Heading1"/>
        <w:spacing w:after="100" w:before="260"/>
      </w:pPr>
      <w:r>
        <w:rPr>
          <w:rFonts w:ascii="Arial" w:cs="Arial" w:eastAsia="Arial" w:hAnsi="Arial"/>
          <w:b/>
          <w:bCs/>
          <w:color w:val="1B3A6B"/>
          <w:sz w:val="28"/>
          <w:szCs w:val="28"/>
        </w:rPr>
        <w:t xml:space="preserve">3. Roles &amp; Responsibilities</w:t>
      </w:r>
    </w:p>
    <w:p>
      <w:pPr>
        <w:pBdr>
          <w:bottom w:val="single" w:color="2E75B6" w:sz="4" w:space="1"/>
        </w:pBd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600"/>
      </w:tblGrid>
      <w:tr>
        <w:tc>
          <w:tcPr>
            <w:tcW w:type="dxa" w:w="28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Activity</w:t>
            </w:r>
          </w:p>
        </w:tc>
        <w:tc>
          <w:tcPr>
            <w:tcW w:type="dxa" w:w="20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Responsible Party</w:t>
            </w:r>
          </w:p>
        </w:tc>
        <w:tc>
          <w:tcPr>
            <w:tcW w:type="dxa" w:w="46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Accountable Party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Configure and maintain backup tooling</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MSP Operations</w:t>
            </w:r>
          </w:p>
        </w:tc>
        <w:tc>
          <w:tcPr>
            <w:tcW w:type="dxa" w:w="4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Technical Owner (James Okonkwo)</w:t>
            </w:r>
          </w:p>
        </w:tc>
      </w:tr>
      <w:tr>
        <w:tc>
          <w:tcPr>
            <w:tcW w:type="dxa" w:w="2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Monthly restore test</w:t>
            </w:r>
          </w:p>
        </w:tc>
        <w:tc>
          <w:tcPr>
            <w:tcW w:type="dxa" w:w="2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MSP Operations</w:t>
            </w:r>
          </w:p>
        </w:tc>
        <w:tc>
          <w:tcPr>
            <w:tcW w:type="dxa" w:w="46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MSP Account Lead (Sarah Mitchell)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Issue backup validation certificate</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MSP Account Lead</w:t>
            </w:r>
          </w:p>
        </w:tc>
        <w:tc>
          <w:tcPr>
            <w:tcW w:type="dxa" w:w="4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MSP Account Lead</w:t>
            </w:r>
          </w:p>
        </w:tc>
      </w:tr>
      <w:tr>
        <w:tc>
          <w:tcPr>
            <w:tcW w:type="dxa" w:w="28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 restore from backup (production data)</w:t>
            </w:r>
          </w:p>
        </w:tc>
        <w:tc>
          <w:tcPr>
            <w:tcW w:type="dxa" w:w="2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DBA + Technical Owner</w:t>
            </w:r>
          </w:p>
        </w:tc>
        <w:tc>
          <w:tcPr>
            <w:tcW w:type="dxa" w:w="46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Business Owner (Linda Park)</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Review backup policy annually</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MSP Account Lead</w:t>
            </w:r>
          </w:p>
        </w:tc>
        <w:tc>
          <w:tcPr>
            <w:tcW w:type="dxa" w:w="4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Technical Owner</w:t>
            </w:r>
          </w:p>
        </w:tc>
      </w:tr>
    </w:tbl>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4" w:space="2"/>
      </w:pBdr>
      <w:spacing w:after="100" w:before="260"/>
      <w:outlineLvl w:val="0"/>
    </w:pPr>
    <w:rPr>
      <w:rFonts w:ascii="Arial" w:cs="Arial" w:eastAsia="Arial" w:hAnsi="Arial"/>
      <w:b/>
      <w:bCs/>
      <w:color w:val="1B3A6B"/>
      <w:sz w:val="28"/>
      <w:szCs w:val="28"/>
    </w:rPr>
  </w:style>
  <w:style w:type="paragraph" w:styleId="Heading2">
    <w:name w:val="Heading 2"/>
    <w:basedOn w:val="Normal"/>
    <w:next w:val="Normal"/>
    <w:pPr>
      <w:spacing w:after="80" w:before="180"/>
      <w:outlineLvl w:val="1"/>
    </w:pPr>
    <w:rPr>
      <w:rFonts w:ascii="Arial" w:cs="Arial" w:eastAsia="Arial" w:hAnsi="Arial"/>
      <w:b/>
      <w:bCs/>
      <w:color w:val="2E75B6"/>
      <w:sz w:val="24"/>
      <w:szCs w:val="24"/>
    </w:rPr>
  </w:style>
  <w:style w:type="paragraph" w:styleId="Heading3">
    <w:name w:val="Heading 3"/>
    <w:basedOn w:val="Normal"/>
    <w:next w:val="Normal"/>
    <w:pPr>
      <w:spacing w:after="60" w:before="140"/>
      <w:outlineLvl w:val="2"/>
    </w:pPr>
    <w:rPr>
      <w:rFonts w:ascii="Arial" w:cs="Arial" w:eastAsia="Arial" w:hAnsi="Arial"/>
      <w:b/>
      <w:bCs/>
      <w:color w:val="00707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2026-06-15T06:59:49.824Z</dcterms:created>
  <dcterms:modified xsi:type="dcterms:W3CDTF">2026-06-15T06:59:49.824Z</dcterms:modified>
</cp:coreProperties>
</file>

<file path=docProps/custom.xml><?xml version="1.0" encoding="utf-8"?>
<Properties xmlns="http://schemas.openxmlformats.org/officeDocument/2006/custom-properties" xmlns:vt="http://schemas.openxmlformats.org/officeDocument/2006/docPropsVTypes"/>
</file>