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Claude on Azure — Project Summary</w:t>
      </w:r>
    </w:p>
    <w:p/>
    <w:p>
      <w:pPr>
        <w:jc w:val="center"/>
      </w:pPr>
      <w:r>
        <w:rPr>
          <w:sz w:val="24"/>
        </w:rPr>
        <w:t>Date: 2026-09-10</w:t>
      </w:r>
    </w:p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sz w:val="24"/>
        </w:rPr>
        <w:t>Audience: Engineering Team, Architects, Stakeholders</w:t>
      </w:r>
    </w:p>
    <w:p>
      <w:r>
        <w:br w:type="page"/>
      </w:r>
    </w:p>
    <w:p>
      <w:r>
        <w:rPr>
          <w:b/>
          <w:color w:val="1F4E79"/>
          <w:sz w:val="36"/>
        </w:rPr>
        <w:t>Table of Contents</w:t>
      </w:r>
    </w:p>
    <w:p>
      <w:r>
        <w:fldChar w:fldCharType="begin"/>
        <w:instrText xml:space="preserve">TOC \o "1-3" \h \z \u</w:instrText>
        <w:fldChar w:fldCharType="separate">
          <w:t>Right-click and choose 'Update Field' to build the table of contents.</w:t>
        </w:fldChar>
        <w:fldChar w:fldCharType="end"/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Claude on Azure is a working guide and reference implementation for running Anthropic's Claude models inside the Microsoft ecosystem. It documents and deploys an Entra ID-authenticated Azure API Management (APIM) gateway that fronts a Claude deployment on Microsoft Foundry, a per-developer dollar-budget enforcement platform (Event Hub, Redis, Cosmos DB, two Azure Function Apps), and an admin usage/cost reporting stack (Azure Monitor workbook and an optional Grafana dashboard). The project is delivered as a Jekyll documentation site (</w:t>
      </w:r>
      <w:r>
        <w:rPr>
          <w:rFonts w:ascii="Consolas" w:hAnsi="Consolas"/>
          <w:sz w:val="20"/>
        </w:rPr>
        <w:t>index.md</w:t>
      </w:r>
      <w:r>
        <w:t>) plus deployable Bicep templates (</w:t>
      </w:r>
      <w:r>
        <w:rPr>
          <w:rFonts w:ascii="Consolas" w:hAnsi="Consolas"/>
          <w:sz w:val="20"/>
        </w:rPr>
        <w:t>infra/</w:t>
      </w:r>
      <w:r>
        <w:t>) and the Python/shell code that runs against the deployed platform (</w:t>
      </w:r>
      <w:r>
        <w:rPr>
          <w:rFonts w:ascii="Consolas" w:hAnsi="Consolas"/>
          <w:sz w:val="20"/>
        </w:rPr>
        <w:t>snippets/</w:t>
      </w:r>
      <w:r>
        <w:t>). It targets platform engineers rolling out Claude Code, Claude Desktop/Cowork, and the Microsoft 365 connector to large developer populations under centralized identity, quota, and cost controls.</w:t>
      </w:r>
    </w:p>
    <w:p>
      <w:pPr>
        <w:pStyle w:val="Heading2"/>
      </w:pPr>
      <w:r>
        <w:t>2.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3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-level-architectur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High-Level Architecture</w:t>
      </w:r>
    </w:p>
    <w:p>
      <w:r>
        <w:t xml:space="preserve">At the system boundary, four kinds of clients call into the platform: </w:t>
      </w:r>
      <w:r>
        <w:rPr>
          <w:b/>
        </w:rPr>
        <w:t>Claude Code</w:t>
      </w:r>
      <w:r>
        <w:t xml:space="preserve">, </w:t>
      </w:r>
      <w:r>
        <w:rPr>
          <w:b/>
        </w:rPr>
        <w:t>Claude Desktop</w:t>
      </w:r>
      <w:r>
        <w:t xml:space="preserve"> (including Cowork), the </w:t>
      </w:r>
      <w:r>
        <w:rPr>
          <w:b/>
        </w:rPr>
        <w:t>Microsoft 365 Copilot connector</w:t>
      </w:r>
      <w:r>
        <w:t xml:space="preserve">, and direct </w:t>
      </w:r>
      <w:r>
        <w:rPr>
          <w:b/>
        </w:rPr>
        <w:t>cURL/Python</w:t>
      </w:r>
      <w:r>
        <w:t xml:space="preserve"> callers using the </w:t>
      </w:r>
      <w:r>
        <w:rPr>
          <w:rFonts w:ascii="Consolas" w:hAnsi="Consolas"/>
          <w:sz w:val="20"/>
        </w:rPr>
        <w:t>AnthropicFoundry</w:t>
      </w:r>
      <w:r>
        <w:t xml:space="preserve"> SDK. All of them authenticate against </w:t>
      </w:r>
      <w:r>
        <w:rPr>
          <w:b/>
        </w:rPr>
        <w:t>Microsoft Entra ID</w:t>
      </w:r>
      <w:r>
        <w:t xml:space="preserve"> using an app registration whose app roles (</w:t>
      </w:r>
      <w:r>
        <w:rPr>
          <w:rFonts w:ascii="Consolas" w:hAnsi="Consolas"/>
          <w:sz w:val="20"/>
        </w:rPr>
        <w:t>Claude.User</w:t>
      </w:r>
      <w:r>
        <w:t xml:space="preserve">, </w:t>
      </w:r>
      <w:r>
        <w:rPr>
          <w:rFonts w:ascii="Consolas" w:hAnsi="Consolas"/>
          <w:sz w:val="20"/>
        </w:rPr>
        <w:t>Claude.Tier.Pro</w:t>
      </w:r>
      <w:r>
        <w:t xml:space="preserve"> / </w:t>
      </w:r>
      <w:r>
        <w:rPr>
          <w:rFonts w:ascii="Consolas" w:hAnsi="Consolas"/>
          <w:sz w:val="20"/>
        </w:rPr>
        <w:t>Claude.Tier.Basic</w:t>
      </w:r>
      <w:r>
        <w:t xml:space="preserve"> / </w:t>
      </w:r>
      <w:r>
        <w:rPr>
          <w:rFonts w:ascii="Consolas" w:hAnsi="Consolas"/>
          <w:sz w:val="20"/>
        </w:rPr>
        <w:t>Claude.Tier.Lite</w:t>
      </w:r>
      <w:r>
        <w:t xml:space="preserve">, </w:t>
      </w:r>
      <w:r>
        <w:rPr>
          <w:rFonts w:ascii="Consolas" w:hAnsi="Consolas"/>
          <w:sz w:val="20"/>
        </w:rPr>
        <w:t>Claude.Suspended</w:t>
      </w:r>
      <w:r>
        <w:t>) drive authorization and tiering.</w:t>
      </w:r>
    </w:p>
    <w:p>
      <w:r>
        <w:t xml:space="preserve">The project's own component — the </w:t>
      </w:r>
      <w:r>
        <w:rPr>
          <w:b/>
        </w:rPr>
        <w:t>Claude on Azure gateway</w:t>
      </w:r>
      <w:r>
        <w:t xml:space="preserve"> — is the shaded (blue) system in the diagram. It is not a single service but three cooperating layers, all deployed by the Bicep templates in </w:t>
      </w:r>
      <w:r>
        <w:rPr>
          <w:rFonts w:ascii="Consolas" w:hAnsi="Consolas"/>
          <w:sz w:val="20"/>
        </w:rPr>
        <w:t>infra/</w:t>
      </w:r>
      <w:r>
        <w:t>:</w:t>
      </w:r>
    </w:p>
    <w:p>
      <w:pPr>
        <w:pStyle w:val="ListBullet"/>
      </w:pPr>
      <w:r>
        <w:rPr>
          <w:b/>
        </w:rPr>
        <w:t>Azure API Management (v2 SKU)</w:t>
      </w:r>
      <w:r>
        <w:t xml:space="preserve"> validates the Entra token, derives caller identity and tier, checks admin-suspension, calls the budget API, enforces per-tier token-per-minute limits, and forwards the request to Foundry using its own system-assigned managed identity (</w:t>
      </w:r>
      <w:r>
        <w:rPr>
          <w:rFonts w:ascii="Consolas" w:hAnsi="Consolas"/>
          <w:sz w:val="20"/>
        </w:rPr>
        <w:t>Cognitive Services User</w:t>
      </w:r>
      <w:r>
        <w:t xml:space="preserve"> role) — the client never holds a Foundry credential directly.</w:t>
      </w:r>
    </w:p>
    <w:p>
      <w:pPr>
        <w:pStyle w:val="ListBullet"/>
      </w:pPr>
      <w:r>
        <w:t xml:space="preserve">The </w:t>
      </w:r>
      <w:r>
        <w:rPr>
          <w:b/>
        </w:rPr>
        <w:t>budget platform</w:t>
      </w:r>
      <w:r>
        <w:t xml:space="preserve"> (Event Hub, a usage-processor Function App, Redis, and Cosmos DB) turns gateway diagnostics into a near-real-time month-to-date dollar figure per developer, which the gateway policy reads back on every request.</w:t>
      </w:r>
    </w:p>
    <w:p>
      <w:pPr>
        <w:pStyle w:val="ListBullet"/>
      </w:pPr>
      <w:r>
        <w:t xml:space="preserve">The </w:t>
      </w:r>
      <w:r>
        <w:rPr>
          <w:b/>
        </w:rPr>
        <w:t>admin usage workbook and Grafana dashboard</w:t>
      </w:r>
      <w:r>
        <w:t xml:space="preserve"> read the same Log Analytics workspace the gateway writes diagnostics to, for humans rather than for the request path.</w:t>
      </w:r>
    </w:p>
    <w:p>
      <w:r>
        <w:t xml:space="preserve">Downstream, </w:t>
      </w:r>
      <w:r>
        <w:rPr>
          <w:b/>
        </w:rPr>
        <w:t>Microsoft Foundry</w:t>
      </w:r>
      <w:r>
        <w:t xml:space="preserve"> hosts the actual Claude model deployment ("Hosted on Azure"). A dashed line to a separate </w:t>
      </w:r>
      <w:r>
        <w:rPr>
          <w:b/>
        </w:rPr>
        <w:t>Anthropic API (direct)</w:t>
      </w:r>
      <w:r>
        <w:t xml:space="preserve"> box marks the alternative, gateway-bypassing path some Claude Desktop configurations can still take — a decision point the guide calls out explicitly (</w:t>
      </w:r>
      <w:r>
        <w:rPr>
          <w:rFonts w:ascii="Consolas" w:hAnsi="Consolas"/>
          <w:sz w:val="20"/>
        </w:rPr>
        <w:t>index.md</w:t>
      </w:r>
      <w:r>
        <w:t>, Part 5, "Two doors marked Anthropic that you should walk past").</w:t>
      </w:r>
    </w:p>
    <w:p>
      <w:pPr>
        <w:pStyle w:val="Heading2"/>
      </w:pPr>
      <w:r>
        <w:t>3. Processing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272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g-pipeline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2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Processing Pipeline</w:t>
      </w:r>
    </w:p>
    <w:p>
      <w:r>
        <w:t>A single Claude request through the gateway passes through the following stages, all implemented as one APIM inbound policy (</w:t>
      </w:r>
      <w:r>
        <w:rPr>
          <w:rFonts w:ascii="Consolas" w:hAnsi="Consolas"/>
          <w:sz w:val="20"/>
        </w:rPr>
        <w:t>infra/03-apim-claude-policy.xml</w:t>
      </w:r>
      <w:r>
        <w:t>):</w:t>
      </w:r>
    </w:p>
    <w:p>
      <w:pPr>
        <w:pStyle w:val="ListNumber"/>
      </w:pPr>
      <w:r>
        <w:rPr>
          <w:b/>
        </w:rPr>
        <w:t>`validate-jwt`</w:t>
      </w:r>
      <w:r>
        <w:t xml:space="preserve"> — verifies the Entra ID token's signature, issuer, and audience. The audience is the *bare application ID* for tokens requesting API version 2, not the </w:t>
      </w:r>
      <w:r>
        <w:rPr>
          <w:rFonts w:ascii="Consolas" w:hAnsi="Consolas"/>
          <w:sz w:val="20"/>
        </w:rPr>
        <w:t>api://&lt;guid&gt;</w:t>
      </w:r>
      <w:r>
        <w:t xml:space="preserve"> identifier URI — a mismatch here 401s every request with no explanatory error.</w:t>
      </w:r>
    </w:p>
    <w:p>
      <w:pPr>
        <w:pStyle w:val="ListNumber"/>
      </w:pPr>
      <w:r>
        <w:rPr>
          <w:b/>
        </w:rPr>
        <w:t>Derive caller identity</w:t>
      </w:r>
      <w:r>
        <w:t xml:space="preserve"> — reads </w:t>
      </w:r>
      <w:r>
        <w:rPr>
          <w:rFonts w:ascii="Consolas" w:hAnsi="Consolas"/>
          <w:sz w:val="20"/>
        </w:rPr>
        <w:t>oid</w:t>
      </w:r>
      <w:r>
        <w:t xml:space="preserve"> and </w:t>
      </w:r>
      <w:r>
        <w:rPr>
          <w:rFonts w:ascii="Consolas" w:hAnsi="Consolas"/>
          <w:sz w:val="20"/>
        </w:rPr>
        <w:t>preferred_username</w:t>
      </w:r>
      <w:r>
        <w:t xml:space="preserve"> (not </w:t>
      </w:r>
      <w:r>
        <w:rPr>
          <w:rFonts w:ascii="Consolas" w:hAnsi="Consolas"/>
          <w:sz w:val="20"/>
        </w:rPr>
        <w:t>upn</w:t>
      </w:r>
      <w:r>
        <w:t xml:space="preserve">, which does not exist on a v2 token) and stamps them as </w:t>
      </w:r>
      <w:r>
        <w:rPr>
          <w:rFonts w:ascii="Consolas" w:hAnsi="Consolas"/>
          <w:sz w:val="20"/>
        </w:rPr>
        <w:t>x-caller-oid</w:t>
      </w:r>
      <w:r>
        <w:t xml:space="preserve"> / </w:t>
      </w:r>
      <w:r>
        <w:rPr>
          <w:rFonts w:ascii="Consolas" w:hAnsi="Consolas"/>
          <w:sz w:val="20"/>
        </w:rPr>
        <w:t>x-caller-upn</w:t>
      </w:r>
      <w:r>
        <w:t xml:space="preserve"> headers so downstream logs are not anonymous.</w:t>
      </w:r>
    </w:p>
    <w:p>
      <w:pPr>
        <w:pStyle w:val="ListNumber"/>
      </w:pPr>
      <w:r>
        <w:rPr>
          <w:b/>
        </w:rPr>
        <w:t>Derive tier</w:t>
      </w:r>
      <w:r>
        <w:t xml:space="preserve"> — reads the </w:t>
      </w:r>
      <w:r>
        <w:rPr>
          <w:rFonts w:ascii="Consolas" w:hAnsi="Consolas"/>
          <w:sz w:val="20"/>
        </w:rPr>
        <w:t>roles</w:t>
      </w:r>
      <w:r>
        <w:t xml:space="preserve"> claim; a token carrying both </w:t>
      </w:r>
      <w:r>
        <w:rPr>
          <w:rFonts w:ascii="Consolas" w:hAnsi="Consolas"/>
          <w:sz w:val="20"/>
        </w:rPr>
        <w:t>Claude.User</w:t>
      </w:r>
      <w:r>
        <w:t xml:space="preserve"> and a </w:t>
      </w:r>
      <w:r>
        <w:rPr>
          <w:rFonts w:ascii="Consolas" w:hAnsi="Consolas"/>
          <w:sz w:val="20"/>
        </w:rPr>
        <w:t>Claude.Tier.*</w:t>
      </w:r>
      <w:r>
        <w:t xml:space="preserve"> role selects that tier, and a token with only </w:t>
      </w:r>
      <w:r>
        <w:rPr>
          <w:rFonts w:ascii="Consolas" w:hAnsi="Consolas"/>
          <w:sz w:val="20"/>
        </w:rPr>
        <w:t>Claude.User</w:t>
      </w:r>
      <w:r>
        <w:t xml:space="preserve"> falls back to </w:t>
      </w:r>
      <w:r>
        <w:rPr>
          <w:rFonts w:ascii="Consolas" w:hAnsi="Consolas"/>
          <w:sz w:val="20"/>
        </w:rPr>
        <w:t>lite</w:t>
      </w:r>
      <w:r>
        <w:t>.</w:t>
      </w:r>
    </w:p>
    <w:p>
      <w:pPr>
        <w:pStyle w:val="ListNumber"/>
      </w:pPr>
      <w:r>
        <w:rPr>
          <w:b/>
        </w:rPr>
        <w:t>Admin check</w:t>
      </w:r>
      <w:r>
        <w:t xml:space="preserve"> — </w:t>
      </w:r>
      <w:r>
        <w:rPr>
          <w:rFonts w:ascii="Consolas" w:hAnsi="Consolas"/>
          <w:sz w:val="20"/>
        </w:rPr>
        <w:t>Claude.Suspended</w:t>
      </w:r>
      <w:r>
        <w:t xml:space="preserve"> short-circuits the request with </w:t>
      </w:r>
      <w:r>
        <w:rPr>
          <w:rFonts w:ascii="Consolas" w:hAnsi="Consolas"/>
          <w:sz w:val="20"/>
        </w:rPr>
        <w:t>403</w:t>
      </w:r>
      <w:r>
        <w:t xml:space="preserve"> and </w:t>
      </w:r>
      <w:r>
        <w:rPr>
          <w:rFonts w:ascii="Consolas" w:hAnsi="Consolas"/>
          <w:sz w:val="20"/>
        </w:rPr>
        <w:t>x-claude-denied-by: admin</w:t>
      </w:r>
      <w:r>
        <w:t>.</w:t>
      </w:r>
    </w:p>
    <w:p>
      <w:pPr>
        <w:pStyle w:val="ListNumber"/>
      </w:pPr>
      <w:r>
        <w:rPr>
          <w:b/>
        </w:rPr>
        <w:t>Budget check (fail-open)</w:t>
      </w:r>
      <w:r>
        <w:t xml:space="preserve"> — calls the budget API's </w:t>
      </w:r>
      <w:r>
        <w:rPr>
          <w:rFonts w:ascii="Consolas" w:hAnsi="Consolas"/>
          <w:sz w:val="20"/>
        </w:rPr>
        <w:t>GET /v1/budget/{oid}</w:t>
      </w:r>
      <w:r>
        <w:t xml:space="preserve">; a </w:t>
      </w:r>
      <w:r>
        <w:rPr>
          <w:rFonts w:ascii="Consolas" w:hAnsi="Consolas"/>
          <w:sz w:val="20"/>
        </w:rPr>
        <w:t>402</w:t>
      </w:r>
      <w:r>
        <w:t xml:space="preserve"> response means over budget (</w:t>
      </w:r>
      <w:r>
        <w:rPr>
          <w:rFonts w:ascii="Consolas" w:hAnsi="Consolas"/>
          <w:sz w:val="20"/>
        </w:rPr>
        <w:t>403</w:t>
      </w:r>
      <w:r>
        <w:t xml:space="preserve">, </w:t>
      </w:r>
      <w:r>
        <w:rPr>
          <w:rFonts w:ascii="Consolas" w:hAnsi="Consolas"/>
          <w:sz w:val="20"/>
        </w:rPr>
        <w:t>x-claude-denied-by: budget</w:t>
      </w:r>
      <w:r>
        <w:t>), and anything else (including no answer) is treated as within budget by design.</w:t>
      </w:r>
    </w:p>
    <w:p>
      <w:pPr>
        <w:pStyle w:val="ListNumber"/>
      </w:pPr>
      <w:r>
        <w:rPr>
          <w:b/>
        </w:rPr>
        <w:t>`llm-token-limit`</w:t>
      </w:r>
      <w:r>
        <w:t xml:space="preserve"> — enforces the tier's tokens-per-minute and token-quota named values; a breach returns </w:t>
      </w:r>
      <w:r>
        <w:rPr>
          <w:rFonts w:ascii="Consolas" w:hAnsi="Consolas"/>
          <w:sz w:val="20"/>
        </w:rPr>
        <w:t>429</w:t>
      </w:r>
      <w:r>
        <w:t>/</w:t>
      </w:r>
      <w:r>
        <w:rPr>
          <w:rFonts w:ascii="Consolas" w:hAnsi="Consolas"/>
          <w:sz w:val="20"/>
        </w:rPr>
        <w:t>403</w:t>
      </w:r>
      <w:r>
        <w:t xml:space="preserve"> with </w:t>
      </w:r>
      <w:r>
        <w:rPr>
          <w:rFonts w:ascii="Consolas" w:hAnsi="Consolas"/>
          <w:sz w:val="20"/>
        </w:rPr>
        <w:t>x-claude-denied-by: tier</w:t>
      </w:r>
      <w:r>
        <w:t>.</w:t>
      </w:r>
    </w:p>
    <w:p>
      <w:pPr>
        <w:pStyle w:val="ListNumber"/>
      </w:pPr>
      <w:r>
        <w:rPr>
          <w:b/>
        </w:rPr>
        <w:t>Backend auth &amp; forward</w:t>
      </w:r>
      <w:r>
        <w:t xml:space="preserve"> — the gateway's own managed identity authenticates to Foundry; the request is forwarded to </w:t>
      </w:r>
      <w:r>
        <w:rPr>
          <w:rFonts w:ascii="Consolas" w:hAnsi="Consolas"/>
          <w:sz w:val="20"/>
        </w:rPr>
        <w:t>https://&lt;foundry-account&gt;.services.ai.azure.com/anthropic</w:t>
      </w:r>
      <w:r>
        <w:t>.</w:t>
      </w:r>
    </w:p>
    <w:p>
      <w:pPr>
        <w:pStyle w:val="ListNumber"/>
      </w:pPr>
      <w:r>
        <w:rPr>
          <w:b/>
        </w:rPr>
        <w:t>Diagnostics emitted</w:t>
      </w:r>
      <w:r>
        <w:t xml:space="preserve"> — Foundry's response produces two separate diagnostic records (</w:t>
      </w:r>
      <w:r>
        <w:rPr>
          <w:rFonts w:ascii="Consolas" w:hAnsi="Consolas"/>
          <w:sz w:val="20"/>
        </w:rPr>
        <w:t>GatewayLlmLogs</w:t>
      </w:r>
      <w:r>
        <w:t xml:space="preserve"> with token counts, </w:t>
      </w:r>
      <w:r>
        <w:rPr>
          <w:rFonts w:ascii="Consolas" w:hAnsi="Consolas"/>
          <w:sz w:val="20"/>
        </w:rPr>
        <w:t>GatewayLogs</w:t>
      </w:r>
      <w:r>
        <w:t xml:space="preserve"> with the caller headers), correlated only by </w:t>
      </w:r>
      <w:r>
        <w:rPr>
          <w:rFonts w:ascii="Consolas" w:hAnsi="Consolas"/>
          <w:sz w:val="20"/>
        </w:rPr>
        <w:t>CorrelationId</w:t>
      </w:r>
      <w:r>
        <w:t>, delivered to an Event Hub.</w:t>
      </w:r>
    </w:p>
    <w:p>
      <w:pPr>
        <w:pStyle w:val="ListNumber"/>
      </w:pPr>
      <w:r>
        <w:rPr>
          <w:b/>
        </w:rPr>
        <w:t>Usage processor</w:t>
      </w:r>
      <w:r>
        <w:t xml:space="preserve"> (</w:t>
      </w:r>
      <w:r>
        <w:rPr>
          <w:rFonts w:ascii="Consolas" w:hAnsi="Consolas"/>
          <w:sz w:val="20"/>
        </w:rPr>
        <w:t>snippets/17-usage-processor/function_app.py</w:t>
      </w:r>
      <w:r>
        <w:t xml:space="preserve">) performs a streaming join of the two record halves through Redis, prices the request from </w:t>
      </w:r>
      <w:r>
        <w:rPr>
          <w:rFonts w:ascii="Consolas" w:hAnsi="Consolas"/>
          <w:sz w:val="20"/>
        </w:rPr>
        <w:t>PRICING_CL</w:t>
      </w:r>
      <w:r>
        <w:t xml:space="preserve">, </w:t>
      </w:r>
      <w:r>
        <w:rPr>
          <w:rFonts w:ascii="Consolas" w:hAnsi="Consolas"/>
          <w:sz w:val="20"/>
        </w:rPr>
        <w:t>INCRBYFLOAT</w:t>
      </w:r>
      <w:r>
        <w:t xml:space="preserve">s the developer's month-to-date dollar counter in Redis, and upserts a ledger row in Cosmos DB. If the counter now exceeds the tier's </w:t>
      </w:r>
      <w:r>
        <w:rPr>
          <w:rFonts w:ascii="Consolas" w:hAnsi="Consolas"/>
          <w:sz w:val="20"/>
        </w:rPr>
        <w:t>costQuota</w:t>
      </w:r>
      <w:r>
        <w:t>, the developer is flagged over budget — which step 5 will read back on their *next* request.</w:t>
      </w:r>
    </w:p>
    <w:p>
      <w:pPr>
        <w:pStyle w:val="ListNumber"/>
      </w:pPr>
      <w:r>
        <w:rPr>
          <w:b/>
        </w:rPr>
        <w:t>Reporting</w:t>
      </w:r>
      <w:r>
        <w:t xml:space="preserve"> — the admin usage workbook and Grafana dashboard read the Log Analytics workspace independently of the request path, for humans rather than enforcement.</w:t>
      </w:r>
    </w:p>
    <w:p>
      <w:r>
        <w:t>The dashed feedback edge in the diagram (processor → budget check) is the platform's core enforcement loop: a request is never blocked mid-flight by its own cost, only by the *previous* request's accumulated spend.</w:t>
      </w:r>
    </w:p>
    <w:p>
      <w:pPr>
        <w:pStyle w:val="Heading2"/>
      </w:pPr>
      <w:r>
        <w:t>4. Core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99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-relationships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Component Relationships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Group</w:t>
            </w:r>
          </w:p>
        </w:tc>
        <w:tc>
          <w:tcPr>
            <w:tcW w:type="dxa" w:w="2880"/>
          </w:tcPr>
          <w:p>
            <w:r/>
            <w:r>
              <w:t>File(s)</w:t>
            </w:r>
          </w:p>
        </w:tc>
        <w:tc>
          <w:tcPr>
            <w:tcW w:type="dxa" w:w="2880"/>
          </w:tcPr>
          <w:p>
            <w:r/>
            <w: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t>Gateway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infra/03-apim-claude-policy.xml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infra/04-apim-gateway.bicep</w:t>
            </w:r>
          </w:p>
        </w:tc>
        <w:tc>
          <w:tcPr>
            <w:tcW w:type="dxa" w:w="2880"/>
          </w:tcPr>
          <w:p>
            <w:r/>
            <w:r>
              <w:t>Entra validation, tier derivation, admin/budget checks, per-tier rate limiting, managed-identity backend auth, diagnostics</w:t>
            </w:r>
          </w:p>
        </w:tc>
      </w:tr>
      <w:tr>
        <w:tc>
          <w:tcPr>
            <w:tcW w:type="dxa" w:w="2880"/>
          </w:tcPr>
          <w:p>
            <w:r/>
            <w:r>
              <w:t>Budget platform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infra/16-budget-platform.bicep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snippets/17-usage-processor/function_app.py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snippets/18-budget-api/function_app.py</w:t>
            </w:r>
          </w:p>
        </w:tc>
        <w:tc>
          <w:tcPr>
            <w:tcW w:type="dxa" w:w="2880"/>
          </w:tcPr>
          <w:p>
            <w:r/>
            <w:r>
              <w:t>Turns diagnostic events into a per-developer month-to-date dollar figure; exposes a single boolean the gateway policy consumes</w:t>
            </w:r>
          </w:p>
        </w:tc>
      </w:tr>
      <w:tr>
        <w:tc>
          <w:tcPr>
            <w:tcW w:type="dxa" w:w="2880"/>
          </w:tcPr>
          <w:p>
            <w:r/>
            <w:r>
              <w:t>Reference 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infra/14-claude-tiers.bicep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snippets/15-load-pricing.py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snippets/20-cost-reconciler.py</w:t>
            </w:r>
          </w:p>
        </w:tc>
        <w:tc>
          <w:tcPr>
            <w:tcW w:type="dxa" w:w="2880"/>
          </w:tcPr>
          <w:p>
            <w:r/>
            <w:r>
              <w:t>Single source of truth for tier limits (</w:t>
            </w:r>
            <w:r>
              <w:rPr>
                <w:rFonts w:ascii="Consolas" w:hAnsi="Consolas"/>
                <w:sz w:val="20"/>
              </w:rPr>
              <w:t>ClaudeTiers()</w:t>
            </w:r>
            <w:r>
              <w:t xml:space="preserve"> KQL function) and model prices (</w:t>
            </w:r>
            <w:r>
              <w:rPr>
                <w:rFonts w:ascii="Consolas" w:hAnsi="Consolas"/>
                <w:sz w:val="20"/>
              </w:rPr>
              <w:t>PRICING_CL</w:t>
            </w:r>
            <w:r>
              <w:t>); reconciles cache-write metrics Azure Monitor exposes nowhere else</w:t>
            </w:r>
          </w:p>
        </w:tc>
      </w:tr>
      <w:tr>
        <w:tc>
          <w:tcPr>
            <w:tcW w:type="dxa" w:w="2880"/>
          </w:tcPr>
          <w:p>
            <w:r/>
            <w:r>
              <w:t>Reporting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infra/08/09-claude-usage-workbook.json</w:t>
            </w:r>
            <w:r>
              <w:t>/</w:t>
            </w:r>
            <w:r>
              <w:rPr>
                <w:rFonts w:ascii="Consolas" w:hAnsi="Consolas"/>
                <w:sz w:val="20"/>
              </w:rPr>
              <w:t>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infra/10-claude-usage-summary-rule.bicep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infra/11</w:t>
            </w:r>
            <w:r>
              <w:t>–</w:t>
            </w:r>
            <w:r>
              <w:rPr>
                <w:rFonts w:ascii="Consolas" w:hAnsi="Consolas"/>
                <w:sz w:val="20"/>
              </w:rPr>
              <w:t>13-*grafana*</w:t>
            </w:r>
          </w:p>
        </w:tc>
        <w:tc>
          <w:tcPr>
            <w:tcW w:type="dxa" w:w="2880"/>
          </w:tcPr>
          <w:p>
            <w:r/>
            <w:r>
              <w:t>Admin-facing dashboards over the same Log Analytics data, independent of the request path</w:t>
            </w:r>
          </w:p>
        </w:tc>
      </w:tr>
    </w:tbl>
    <w:p/>
    <w:p>
      <w:pPr>
        <w:pStyle w:val="Heading3"/>
      </w:pPr>
      <w:r>
        <w:t>Interfaces and contracts</w:t>
      </w:r>
    </w:p>
    <w:p>
      <w:pPr>
        <w:pStyle w:val="ListBullet"/>
      </w:pPr>
      <w:r>
        <w:rPr>
          <w:b/>
        </w:rPr>
        <w:t>`tiersConfig`</w:t>
      </w:r>
      <w:r>
        <w:t xml:space="preserve"> is declared identically in three templates — </w:t>
      </w:r>
      <w:r>
        <w:rPr>
          <w:rFonts w:ascii="Consolas" w:hAnsi="Consolas"/>
          <w:sz w:val="20"/>
        </w:rPr>
        <w:t>04-apim-gateway.bicep</w:t>
      </w:r>
      <w:r>
        <w:t xml:space="preserve">, </w:t>
      </w:r>
      <w:r>
        <w:rPr>
          <w:rFonts w:ascii="Consolas" w:hAnsi="Consolas"/>
          <w:sz w:val="20"/>
        </w:rPr>
        <w:t>14-claude-tiers.bicep</w:t>
      </w:r>
      <w:r>
        <w:t xml:space="preserve">, and </w:t>
      </w:r>
      <w:r>
        <w:rPr>
          <w:rFonts w:ascii="Consolas" w:hAnsi="Consolas"/>
          <w:sz w:val="20"/>
        </w:rPr>
        <w:t>16-budget-platform.bicep</w:t>
      </w:r>
      <w:r>
        <w:t xml:space="preserve"> — each entry carrying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tpm</w:t>
      </w:r>
      <w:r>
        <w:t xml:space="preserve"> (tokens per minute, enforced by APIM), </w:t>
      </w:r>
      <w:r>
        <w:rPr>
          <w:rFonts w:ascii="Consolas" w:hAnsi="Consolas"/>
          <w:sz w:val="20"/>
        </w:rPr>
        <w:t>tokenQuota</w:t>
      </w:r>
      <w:r>
        <w:t xml:space="preserve"> (enforced by APIM), and </w:t>
      </w:r>
      <w:r>
        <w:rPr>
          <w:rFonts w:ascii="Consolas" w:hAnsi="Consolas"/>
          <w:sz w:val="20"/>
        </w:rPr>
        <w:t>costQuota</w:t>
      </w:r>
      <w:r>
        <w:t xml:space="preserve"> (a dollar figure enforced only by the usage processor, not by APIM). A mismatch across the three is silent: the policy and the processor would throttle against different numbers.</w:t>
      </w:r>
    </w:p>
    <w:p>
      <w:pPr>
        <w:pStyle w:val="ListBullet"/>
      </w:pPr>
      <w:r>
        <w:rPr>
          <w:b/>
        </w:rPr>
        <w:t>Budget API contract</w:t>
      </w:r>
      <w:r>
        <w:t xml:space="preserve"> (</w:t>
      </w:r>
      <w:r>
        <w:rPr>
          <w:rFonts w:ascii="Consolas" w:hAnsi="Consolas"/>
          <w:sz w:val="20"/>
        </w:rPr>
        <w:t>snippets/18-budget-api/function_app.py</w:t>
      </w:r>
      <w:r>
        <w:t xml:space="preserve">): </w:t>
      </w:r>
      <w:r>
        <w:rPr>
          <w:rFonts w:ascii="Consolas" w:hAnsi="Consolas"/>
          <w:sz w:val="20"/>
        </w:rPr>
        <w:t>GET /v1/budget/{oid}</w:t>
      </w:r>
      <w:r>
        <w:t xml:space="preserve"> returns </w:t>
      </w:r>
      <w:r>
        <w:rPr>
          <w:rFonts w:ascii="Consolas" w:hAnsi="Consolas"/>
          <w:sz w:val="20"/>
        </w:rPr>
        <w:t>200</w:t>
      </w:r>
      <w:r>
        <w:t xml:space="preserve"> (within budget) or </w:t>
      </w:r>
      <w:r>
        <w:rPr>
          <w:rFonts w:ascii="Consolas" w:hAnsi="Consolas"/>
          <w:sz w:val="20"/>
        </w:rPr>
        <w:t>402</w:t>
      </w:r>
      <w:r>
        <w:t xml:space="preserve"> (over budget) with no response body — the policy reads only the status code, by design, so a garbled response cannot be misread as "over budget."</w:t>
      </w:r>
    </w:p>
    <w:p>
      <w:pPr>
        <w:pStyle w:val="ListBullet"/>
      </w:pPr>
      <w:r>
        <w:rPr>
          <w:b/>
        </w:rPr>
        <w:t>`ClaudeTiers()`</w:t>
      </w:r>
      <w:r>
        <w:t xml:space="preserve"> (a saved KQL function deployed by </w:t>
      </w:r>
      <w:r>
        <w:rPr>
          <w:rFonts w:ascii="Consolas" w:hAnsi="Consolas"/>
          <w:sz w:val="20"/>
        </w:rPr>
        <w:t>14-claude-tiers.bicep</w:t>
      </w:r>
      <w:r>
        <w:t>) is the one place the workbook, the Grafana dashboard, and the summary rule read tier limits from, rather than each carrying its own copy.</w:t>
      </w:r>
    </w:p>
    <w:p>
      <w:pPr>
        <w:pStyle w:val="Heading2"/>
      </w:pPr>
      <w:r>
        <w:t>5. API Contracts / Message Schemas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Header / Field</w:t>
            </w:r>
          </w:p>
        </w:tc>
        <w:tc>
          <w:tcPr>
            <w:tcW w:type="dxa" w:w="2880"/>
          </w:tcPr>
          <w:p>
            <w:r/>
            <w:r>
              <w:t>Set by</w:t>
            </w:r>
          </w:p>
        </w:tc>
        <w:tc>
          <w:tcPr>
            <w:tcW w:type="dxa" w:w="2880"/>
          </w:tcPr>
          <w:p>
            <w:r/>
            <w: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x-caller-oid</w:t>
            </w:r>
          </w:p>
        </w:tc>
        <w:tc>
          <w:tcPr>
            <w:tcW w:type="dxa" w:w="2880"/>
          </w:tcPr>
          <w:p>
            <w:r/>
            <w:r>
              <w:t>gateway policy, step 2</w:t>
            </w:r>
          </w:p>
        </w:tc>
        <w:tc>
          <w:tcPr>
            <w:tcW w:type="dxa" w:w="2880"/>
          </w:tcPr>
          <w:p>
            <w:r/>
            <w:r>
              <w:t>Entra object ID of the calling developer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x-caller-upn</w:t>
            </w:r>
          </w:p>
        </w:tc>
        <w:tc>
          <w:tcPr>
            <w:tcW w:type="dxa" w:w="2880"/>
          </w:tcPr>
          <w:p>
            <w:r/>
            <w:r>
              <w:t>gateway policy, step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preferred_username</w:t>
            </w:r>
            <w:r>
              <w:t xml:space="preserve"> from the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x-caller-tier</w:t>
            </w:r>
          </w:p>
        </w:tc>
        <w:tc>
          <w:tcPr>
            <w:tcW w:type="dxa" w:w="2880"/>
          </w:tcPr>
          <w:p>
            <w:r/>
            <w:r>
              <w:t>gateway policy, step 3</w:t>
            </w:r>
          </w:p>
        </w:tc>
        <w:tc>
          <w:tcPr>
            <w:tcW w:type="dxa" w:w="2880"/>
          </w:tcPr>
          <w:p>
            <w:r/>
            <w:r>
              <w:t xml:space="preserve">Resolved tier: </w:t>
            </w:r>
            <w:r>
              <w:rPr>
                <w:rFonts w:ascii="Consolas" w:hAnsi="Consolas"/>
                <w:sz w:val="20"/>
              </w:rPr>
              <w:t>pro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basic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x-claude-denied-by</w:t>
            </w:r>
          </w:p>
        </w:tc>
        <w:tc>
          <w:tcPr>
            <w:tcW w:type="dxa" w:w="2880"/>
          </w:tcPr>
          <w:p>
            <w:r/>
            <w:r>
              <w:t>gateway policy, steps 4–6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budget</w:t>
            </w:r>
            <w:r>
              <w:t xml:space="preserve">, or absent (rate/quota denial via </w:t>
            </w:r>
            <w:r>
              <w:rPr>
                <w:rFonts w:ascii="Consolas" w:hAnsi="Consolas"/>
                <w:sz w:val="20"/>
              </w:rPr>
              <w:t>llm-token-limit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x-tokens-remaining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llm-token-limit</w:t>
            </w:r>
            <w:r>
              <w:t xml:space="preserve"> policy</w:t>
            </w:r>
          </w:p>
        </w:tc>
        <w:tc>
          <w:tcPr>
            <w:tcW w:type="dxa" w:w="2880"/>
          </w:tcPr>
          <w:p>
            <w:r/>
            <w:r>
              <w:t>Remaining tokens in the current tier bucket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Ledger field (Cosmos, per request)</w:t>
            </w:r>
          </w:p>
        </w:tc>
        <w:tc>
          <w:tcPr>
            <w:tcW w:type="dxa" w:w="4320"/>
          </w:tcPr>
          <w:p>
            <w:r/>
            <w:r>
              <w:t>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CorrelationId</w:t>
            </w:r>
            <w:r>
              <w:t xml:space="preserve"> (document id, upsert key)</w:t>
            </w:r>
          </w:p>
        </w:tc>
        <w:tc>
          <w:tcPr>
            <w:tcW w:type="dxa" w:w="4320"/>
          </w:tcPr>
          <w:p>
            <w:r/>
            <w:r>
              <w:t xml:space="preserve">Shared by </w:t>
            </w:r>
            <w:r>
              <w:rPr>
                <w:rFonts w:ascii="Consolas" w:hAnsi="Consolas"/>
                <w:sz w:val="20"/>
              </w:rPr>
              <w:t>GatewayLlmLogs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GatewayLogs</w:t>
            </w:r>
          </w:p>
        </w:tc>
      </w:tr>
      <w:tr>
        <w:tc>
          <w:tcPr>
            <w:tcW w:type="dxa" w:w="4320"/>
          </w:tcPr>
          <w:p>
            <w:r/>
            <w:r>
              <w:t>tier, model, token counts, priced cost</w:t>
            </w:r>
          </w:p>
        </w:tc>
        <w:tc>
          <w:tcPr>
            <w:tcW w:type="dxa" w:w="4320"/>
          </w:tcPr>
          <w:p>
            <w:r/>
            <w:r>
              <w:t xml:space="preserve">Usage processor, joined from both log halves and </w:t>
            </w:r>
            <w:r>
              <w:rPr>
                <w:rFonts w:ascii="Consolas" w:hAnsi="Consolas"/>
                <w:sz w:val="20"/>
              </w:rPr>
              <w:t>PRICING_CL</w:t>
            </w:r>
          </w:p>
        </w:tc>
      </w:tr>
      <w:tr>
        <w:tc>
          <w:tcPr>
            <w:tcW w:type="dxa" w:w="4320"/>
          </w:tcPr>
          <w:p>
            <w:r/>
            <w:r>
              <w:t>cache-write token counts</w:t>
            </w:r>
          </w:p>
        </w:tc>
        <w:tc>
          <w:tcPr>
            <w:tcW w:type="dxa" w:w="4320"/>
          </w:tcPr>
          <w:p>
            <w:r/>
            <w:r>
              <w:t xml:space="preserve">Explicitly marked </w:t>
            </w:r>
            <w:r>
              <w:rPr>
                <w:b/>
              </w:rPr>
              <w:t>unknown</w:t>
            </w:r>
            <w:r>
              <w:t>, never zero — see §8</w:t>
            </w:r>
          </w:p>
        </w:tc>
      </w:tr>
    </w:tbl>
    <w:p/>
    <w:p>
      <w:pPr>
        <w:pStyle w:val="Heading2"/>
      </w:pPr>
      <w:r>
        <w:t>6. Infrastructure &amp; Deployment</w:t>
      </w:r>
    </w:p>
    <w:p>
      <w:r>
        <w:t xml:space="preserve">Everything under </w:t>
      </w:r>
      <w:r>
        <w:rPr>
          <w:rFonts w:ascii="Consolas" w:hAnsi="Consolas"/>
          <w:sz w:val="20"/>
        </w:rPr>
        <w:t>infra/</w:t>
      </w:r>
      <w:r>
        <w:t xml:space="preserve"> is deployed with </w:t>
      </w:r>
      <w:r>
        <w:rPr>
          <w:rFonts w:ascii="Consolas" w:hAnsi="Consolas"/>
          <w:sz w:val="20"/>
        </w:rPr>
        <w:t>az deployment group create</w:t>
      </w:r>
      <w:r>
        <w:t xml:space="preserve"> from the repository root. The gateway and the budget platform reference each other, so </w:t>
      </w:r>
      <w:r>
        <w:rPr>
          <w:rFonts w:ascii="Consolas" w:hAnsi="Consolas"/>
          <w:sz w:val="20"/>
        </w:rPr>
        <w:t>04-apim-gateway.bicep</w:t>
      </w:r>
      <w:r>
        <w:t xml:space="preserve"> is deployed </w:t>
      </w:r>
      <w:r>
        <w:rPr>
          <w:b/>
        </w:rPr>
        <w:t>twice</w:t>
      </w:r>
      <w:r>
        <w:t xml:space="preserve"> — once with the budget API pointed at an unreachable placeholder (so the fail-open budget check passes every request while the platform doesn't exist yet), and again after the budget platform's outputs are available.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Order</w:t>
            </w:r>
          </w:p>
        </w:tc>
        <w:tc>
          <w:tcPr>
            <w:tcW w:type="dxa" w:w="2880"/>
          </w:tcPr>
          <w:p>
            <w:r/>
            <w:r>
              <w:t>Template</w:t>
            </w:r>
          </w:p>
        </w:tc>
        <w:tc>
          <w:tcPr>
            <w:tcW w:type="dxa" w:w="2880"/>
          </w:tcPr>
          <w:p>
            <w:r/>
            <w:r>
              <w:t>Deploys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infra/04-apim-gateway.bicep</w:t>
            </w:r>
          </w:p>
        </w:tc>
        <w:tc>
          <w:tcPr>
            <w:tcW w:type="dxa" w:w="2880"/>
          </w:tcPr>
          <w:p>
            <w:r/>
            <w:r>
              <w:t>APIM v2 + system identity + Anthropic API + tier named values + role assignment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infra/14-claude-tiers.bicep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snippets/15-load-pricing.py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ClaudeTiers()</w:t>
            </w:r>
            <w:r>
              <w:t xml:space="preserve"> function, </w:t>
            </w:r>
            <w:r>
              <w:rPr>
                <w:rFonts w:ascii="Consolas" w:hAnsi="Consolas"/>
                <w:sz w:val="20"/>
              </w:rPr>
              <w:t>PRICING_CL</w:t>
            </w:r>
            <w:r>
              <w:t xml:space="preserve"> table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infra/16-budget-platform.bicep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snippets/17-usage-processor/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snippets/18-budget-api/</w:t>
            </w:r>
          </w:p>
        </w:tc>
        <w:tc>
          <w:tcPr>
            <w:tcW w:type="dxa" w:w="2880"/>
          </w:tcPr>
          <w:p>
            <w:r/>
            <w:r>
              <w:t>Event Hub, Redis, Cosmos, both Function Apps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infra/04-apim-gateway.bicep</w:t>
            </w:r>
            <w:r>
              <w:t xml:space="preserve"> (again)</w:t>
            </w:r>
          </w:p>
        </w:tc>
        <w:tc>
          <w:tcPr>
            <w:tcW w:type="dxa" w:w="2880"/>
          </w:tcPr>
          <w:p>
            <w:r/>
            <w:r>
              <w:t>Re-deployed with the budget platform's real outputs</w:t>
            </w:r>
          </w:p>
        </w:tc>
      </w:tr>
      <w:tr>
        <w:tc>
          <w:tcPr>
            <w:tcW w:type="dxa" w:w="2880"/>
          </w:tcPr>
          <w:p>
            <w:r/>
            <w:r>
              <w:t>5 (optional)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infra/09-workbook.bicep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infra/10-claude-usage-summary-rule.bicep</w:t>
            </w:r>
          </w:p>
        </w:tc>
        <w:tc>
          <w:tcPr>
            <w:tcW w:type="dxa" w:w="2880"/>
          </w:tcPr>
          <w:p>
            <w:r/>
            <w:r>
              <w:t>Admin usage workbook, hourly rollup</w:t>
            </w:r>
          </w:p>
        </w:tc>
      </w:tr>
      <w:tr>
        <w:tc>
          <w:tcPr>
            <w:tcW w:type="dxa" w:w="2880"/>
          </w:tcPr>
          <w:p>
            <w:r/>
            <w:r>
              <w:t>6 (optional, billable)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infra/11-grafana.bicep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infra/13-import-grafana-dashboard.sh</w:t>
            </w:r>
          </w:p>
        </w:tc>
        <w:tc>
          <w:tcPr>
            <w:tcW w:type="dxa" w:w="2880"/>
          </w:tcPr>
          <w:p>
            <w:r/>
            <w:r>
              <w:t>Azure Managed Grafana + 20-panel dashboard</w:t>
            </w:r>
          </w:p>
        </w:tc>
      </w:tr>
      <w:tr>
        <w:tc>
          <w:tcPr>
            <w:tcW w:type="dxa" w:w="2880"/>
          </w:tcPr>
          <w:p>
            <w:r/>
            <w:r>
              <w:t>7 (optional)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infra/21-reconciler-metrics-rbac.bicep</w:t>
            </w:r>
            <w:r>
              <w:t xml:space="preserve"> (module)</w:t>
            </w:r>
          </w:p>
        </w:tc>
        <w:tc>
          <w:tcPr>
            <w:tcW w:type="dxa" w:w="2880"/>
          </w:tcPr>
          <w:p>
            <w:r/>
            <w:r>
              <w:t xml:space="preserve">Monitoring Reader for </w:t>
            </w:r>
            <w:r>
              <w:rPr>
                <w:rFonts w:ascii="Consolas" w:hAnsi="Consolas"/>
                <w:sz w:val="20"/>
              </w:rPr>
              <w:t>snippets/20-cost-reconciler.py</w:t>
            </w:r>
          </w:p>
        </w:tc>
      </w:tr>
    </w:tbl>
    <w:p/>
    <w:p>
      <w:r>
        <w:t xml:space="preserve">Prerequisites: a Foundry resource with a Claude deployment, a Log Analytics workspace, an Entra app registration with a </w:t>
      </w:r>
      <w:r>
        <w:rPr>
          <w:rFonts w:ascii="Consolas" w:hAnsi="Consolas"/>
          <w:sz w:val="20"/>
        </w:rPr>
        <w:t>Claude.User</w:t>
      </w:r>
      <w:r>
        <w:t xml:space="preserve"> app role, the correct </w:t>
      </w:r>
      <w:r>
        <w:rPr>
          <w:rFonts w:ascii="Consolas" w:hAnsi="Consolas"/>
          <w:sz w:val="20"/>
        </w:rPr>
        <w:t>aud</w:t>
      </w:r>
      <w:r>
        <w:t xml:space="preserve"> value (decode a real token — do not guess), and an APIM </w:t>
      </w:r>
      <w:r>
        <w:rPr>
          <w:b/>
        </w:rPr>
        <w:t>v2</w:t>
      </w:r>
      <w:r>
        <w:t xml:space="preserve"> SKU (</w:t>
      </w:r>
      <w:r>
        <w:rPr>
          <w:rFonts w:ascii="Consolas" w:hAnsi="Consolas"/>
          <w:sz w:val="20"/>
        </w:rPr>
        <w:t>BasicV2</w:t>
      </w:r>
      <w:r>
        <w:t>/</w:t>
      </w:r>
      <w:r>
        <w:rPr>
          <w:rFonts w:ascii="Consolas" w:hAnsi="Consolas"/>
          <w:sz w:val="20"/>
        </w:rPr>
        <w:t>StandardV2</w:t>
      </w:r>
      <w:r>
        <w:t>/</w:t>
      </w:r>
      <w:r>
        <w:rPr>
          <w:rFonts w:ascii="Consolas" w:hAnsi="Consolas"/>
          <w:sz w:val="20"/>
        </w:rPr>
        <w:t>PremiumV2</w:t>
      </w:r>
      <w:r>
        <w:t xml:space="preserve">); the </w:t>
      </w:r>
      <w:r>
        <w:rPr>
          <w:rFonts w:ascii="Consolas" w:hAnsi="Consolas"/>
          <w:sz w:val="20"/>
        </w:rPr>
        <w:t>llm-*</w:t>
      </w:r>
      <w:r>
        <w:t xml:space="preserve"> policies do not work on v1 SKUs and </w:t>
      </w:r>
      <w:r>
        <w:rPr>
          <w:rFonts w:ascii="Consolas" w:hAnsi="Consolas"/>
          <w:sz w:val="20"/>
        </w:rPr>
        <w:t>az apim create --sku-name</w:t>
      </w:r>
      <w:r>
        <w:t xml:space="preserve"> cannot create v2 at all, which is why this is Bicep rather than CLI.</w:t>
      </w:r>
    </w:p>
    <w:p>
      <w:r>
        <w:t xml:space="preserve">Deployment status (see </w:t>
      </w:r>
      <w:r>
        <w:rPr>
          <w:rFonts w:ascii="Consolas" w:hAnsi="Consolas"/>
          <w:sz w:val="20"/>
        </w:rPr>
        <w:t>infra/README.md</w:t>
      </w:r>
      <w:r>
        <w:t xml:space="preserve"> for the authoritative, per-template record): </w:t>
      </w:r>
      <w:r>
        <w:rPr>
          <w:rFonts w:ascii="Consolas" w:hAnsi="Consolas"/>
          <w:sz w:val="20"/>
        </w:rPr>
        <w:t>16-budget-platform.bicep</w:t>
      </w:r>
      <w:r>
        <w:t xml:space="preserve"> and </w:t>
      </w:r>
      <w:r>
        <w:rPr>
          <w:rFonts w:ascii="Consolas" w:hAnsi="Consolas"/>
          <w:sz w:val="20"/>
        </w:rPr>
        <w:t>14-claude-tiers.bicep</w:t>
      </w:r>
      <w:r>
        <w:t xml:space="preserve"> are deployed and verified end to end (2026-09-04); </w:t>
      </w:r>
      <w:r>
        <w:rPr>
          <w:rFonts w:ascii="Consolas" w:hAnsi="Consolas"/>
          <w:sz w:val="20"/>
        </w:rPr>
        <w:t>09-workbook.bicep</w:t>
      </w:r>
      <w:r>
        <w:t xml:space="preserve"> is deployed and verified (2026-09-02, 22/22 queries against real data); </w:t>
      </w:r>
      <w:r>
        <w:rPr>
          <w:rFonts w:ascii="Consolas" w:hAnsi="Consolas"/>
          <w:sz w:val="20"/>
        </w:rPr>
        <w:t>04-apim-gateway.bicep</w:t>
      </w:r>
      <w:r>
        <w:t xml:space="preserve">'s policy is verified but its own resource composition has never been deployed from scratch; </w:t>
      </w:r>
      <w:r>
        <w:rPr>
          <w:rFonts w:ascii="Consolas" w:hAnsi="Consolas"/>
          <w:sz w:val="20"/>
        </w:rPr>
        <w:t>10</w:t>
      </w:r>
      <w:r>
        <w:t xml:space="preserve">, </w:t>
      </w:r>
      <w:r>
        <w:rPr>
          <w:rFonts w:ascii="Consolas" w:hAnsi="Consolas"/>
          <w:sz w:val="20"/>
        </w:rPr>
        <w:t>11</w:t>
      </w:r>
      <w:r>
        <w:t xml:space="preserve">, </w:t>
      </w:r>
      <w:r>
        <w:rPr>
          <w:rFonts w:ascii="Consolas" w:hAnsi="Consolas"/>
          <w:sz w:val="20"/>
        </w:rPr>
        <w:t>11a</w:t>
      </w:r>
      <w:r>
        <w:t xml:space="preserve">, </w:t>
      </w:r>
      <w:r>
        <w:rPr>
          <w:rFonts w:ascii="Consolas" w:hAnsi="Consolas"/>
          <w:sz w:val="20"/>
        </w:rPr>
        <w:t>21</w:t>
      </w:r>
      <w:r>
        <w:t xml:space="preserve"> compile but are not deployed from scratch.</w:t>
      </w:r>
    </w:p>
    <w:p>
      <w:r>
        <w:t xml:space="preserve">Building without deploying: </w:t>
      </w:r>
      <w:r>
        <w:rPr>
          <w:rFonts w:ascii="Consolas" w:hAnsi="Consolas"/>
          <w:sz w:val="20"/>
        </w:rPr>
        <w:t>for f in infra/*.bicep; do az bicep build --file "$f" --stdout &gt; /dev/null; done</w:t>
      </w:r>
      <w:r>
        <w:t xml:space="preserve"> — expect one suppressed </w:t>
      </w:r>
      <w:r>
        <w:rPr>
          <w:rFonts w:ascii="Consolas" w:hAnsi="Consolas"/>
          <w:sz w:val="20"/>
        </w:rPr>
        <w:t>BCP037</w:t>
      </w:r>
      <w:r>
        <w:t xml:space="preserve"> in </w:t>
      </w:r>
      <w:r>
        <w:rPr>
          <w:rFonts w:ascii="Consolas" w:hAnsi="Consolas"/>
          <w:sz w:val="20"/>
        </w:rPr>
        <w:t>04-apim-gateway.bicep</w:t>
      </w:r>
      <w:r>
        <w:t>.</w:t>
      </w:r>
    </w:p>
    <w:p>
      <w:pPr>
        <w:pStyle w:val="Heading2"/>
      </w:pPr>
      <w:r>
        <w:t>7. Extension Patterns</w:t>
      </w:r>
    </w:p>
    <w:p>
      <w:r>
        <w:rPr>
          <w:b/>
        </w:rPr>
        <w:t>Add a new developer tier.</w:t>
      </w:r>
      <w:r>
        <w:t xml:space="preserve"> Add an entry to the </w:t>
      </w:r>
      <w:r>
        <w:rPr>
          <w:rFonts w:ascii="Consolas" w:hAnsi="Consolas"/>
          <w:sz w:val="20"/>
        </w:rPr>
        <w:t>tiersConfig</w:t>
      </w:r>
      <w:r>
        <w:t xml:space="preserve"> array in *all three* templates (</w:t>
      </w:r>
      <w:r>
        <w:rPr>
          <w:rFonts w:ascii="Consolas" w:hAnsi="Consolas"/>
          <w:sz w:val="20"/>
        </w:rPr>
        <w:t>infra/04-apim-gateway.bicep</w:t>
      </w:r>
      <w:r>
        <w:t xml:space="preserve">, </w:t>
      </w:r>
      <w:r>
        <w:rPr>
          <w:rFonts w:ascii="Consolas" w:hAnsi="Consolas"/>
          <w:sz w:val="20"/>
        </w:rPr>
        <w:t>infra/14-claude-tiers.bicep</w:t>
      </w:r>
      <w:r>
        <w:t xml:space="preserve">, </w:t>
      </w:r>
      <w:r>
        <w:rPr>
          <w:rFonts w:ascii="Consolas" w:hAnsi="Consolas"/>
          <w:sz w:val="20"/>
        </w:rPr>
        <w:t>infra/16-budget-platform.bicep</w:t>
      </w:r>
      <w:r>
        <w:t xml:space="preserve">) with matching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tpm</w:t>
      </w:r>
      <w:r>
        <w:t xml:space="preserve">, </w:t>
      </w:r>
      <w:r>
        <w:rPr>
          <w:rFonts w:ascii="Consolas" w:hAnsi="Consolas"/>
          <w:sz w:val="20"/>
        </w:rPr>
        <w:t>tokenQuota</w:t>
      </w:r>
      <w:r>
        <w:t xml:space="preserve">, and </w:t>
      </w:r>
      <w:r>
        <w:rPr>
          <w:rFonts w:ascii="Consolas" w:hAnsi="Consolas"/>
          <w:sz w:val="20"/>
        </w:rPr>
        <w:t>costQuota</w:t>
      </w:r>
      <w:r>
        <w:t xml:space="preserve">. </w:t>
      </w:r>
      <w:r>
        <w:rPr>
          <w:rFonts w:ascii="Consolas" w:hAnsi="Consolas"/>
          <w:sz w:val="20"/>
        </w:rPr>
        <w:t>TIERED-QUOTAS.md</w:t>
      </w:r>
      <w:r>
        <w:t xml:space="preserve"> explains sizing </w:t>
      </w:r>
      <w:r>
        <w:rPr>
          <w:rFonts w:ascii="Consolas" w:hAnsi="Consolas"/>
          <w:sz w:val="20"/>
        </w:rPr>
        <w:t>tokenQuota</w:t>
      </w:r>
      <w:r>
        <w:t xml:space="preserve"> as </w:t>
      </w:r>
      <w:r>
        <w:rPr>
          <w:rFonts w:ascii="Consolas" w:hAnsi="Consolas"/>
          <w:sz w:val="20"/>
        </w:rPr>
        <w:t>costQuota</w:t>
      </w:r>
      <w:r>
        <w:t xml:space="preserve"> divided by the cheapest model's rate, so the token quota does not bind before the dollar cap.</w:t>
      </w:r>
    </w:p>
    <w:p>
      <w:r>
        <w:rPr>
          <w:b/>
        </w:rPr>
        <w:t>Update model prices.</w:t>
      </w:r>
      <w:r>
        <w:t xml:space="preserve"> Edit the </w:t>
      </w:r>
      <w:r>
        <w:rPr>
          <w:rFonts w:ascii="Consolas" w:hAnsi="Consolas"/>
          <w:sz w:val="20"/>
        </w:rPr>
        <w:t>PRICES</w:t>
      </w:r>
      <w:r>
        <w:t xml:space="preserve"> table in </w:t>
      </w:r>
      <w:r>
        <w:rPr>
          <w:rFonts w:ascii="Consolas" w:hAnsi="Consolas"/>
          <w:sz w:val="20"/>
        </w:rPr>
        <w:t>snippets/15-load-pricing.py</w:t>
      </w:r>
      <w:r>
        <w:t xml:space="preserve"> and re-run it against your DCR ingestion endpoint. Prices are stored per 1,000 tokens in </w:t>
      </w:r>
      <w:r>
        <w:rPr>
          <w:rFonts w:ascii="Consolas" w:hAnsi="Consolas"/>
          <w:sz w:val="20"/>
        </w:rPr>
        <w:t>PRICING_CL</w:t>
      </w:r>
      <w:r>
        <w:t>; every consumer (workbook, Grafana, processor) divides by 1,000, so a per-1M-token price pasted in directly will silently overcharge or undercharge by 1,000x.</w:t>
      </w:r>
    </w:p>
    <w:p>
      <w:r>
        <w:rPr>
          <w:b/>
        </w:rPr>
        <w:t>Add a new reporting tile.</w:t>
      </w:r>
      <w:r>
        <w:t xml:space="preserve"> Extend </w:t>
      </w:r>
      <w:r>
        <w:rPr>
          <w:rFonts w:ascii="Consolas" w:hAnsi="Consolas"/>
          <w:sz w:val="20"/>
        </w:rPr>
        <w:t>infra/08-claude-usage-workbook.json</w:t>
      </w:r>
      <w:r>
        <w:t xml:space="preserve"> (embedded by </w:t>
      </w:r>
      <w:r>
        <w:rPr>
          <w:rFonts w:ascii="Consolas" w:hAnsi="Consolas"/>
          <w:sz w:val="20"/>
        </w:rPr>
        <w:t>infra/09-workbook.bicep</w:t>
      </w:r>
      <w:r>
        <w:t xml:space="preserve">) or </w:t>
      </w:r>
      <w:r>
        <w:rPr>
          <w:rFonts w:ascii="Consolas" w:hAnsi="Consolas"/>
          <w:sz w:val="20"/>
        </w:rPr>
        <w:t>infra/12-claude-usage-grafana-dashboard.json</w:t>
      </w:r>
      <w:r>
        <w:t xml:space="preserve">, and query </w:t>
      </w:r>
      <w:r>
        <w:rPr>
          <w:rFonts w:ascii="Consolas" w:hAnsi="Consolas"/>
          <w:sz w:val="20"/>
        </w:rPr>
        <w:t>ClaudeTiers()</w:t>
      </w:r>
      <w:r>
        <w:t xml:space="preserve"> and </w:t>
      </w:r>
      <w:r>
        <w:rPr>
          <w:rFonts w:ascii="Consolas" w:hAnsi="Consolas"/>
          <w:sz w:val="20"/>
        </w:rPr>
        <w:t>PRICING_CL</w:t>
      </w:r>
      <w:r>
        <w:t xml:space="preserve"> rather than hardcoding tier or price values in the query.</w:t>
      </w:r>
    </w:p>
    <w:p>
      <w:r>
        <w:rPr>
          <w:b/>
        </w:rPr>
        <w:t>Close the cache-write cost gap.</w:t>
      </w:r>
      <w:r>
        <w:t xml:space="preserve"> </w:t>
      </w:r>
      <w:r>
        <w:rPr>
          <w:rFonts w:ascii="Consolas" w:hAnsi="Consolas"/>
          <w:sz w:val="20"/>
        </w:rPr>
        <w:t>CACHE-TOKEN-ANALYSIS.md</w:t>
      </w:r>
      <w:r>
        <w:t xml:space="preserve"> documents that cache writes (1.25x input for 5-minute TTL, 2x for 1-hour TTL) are unreported by any APIM diagnostic surface and were 62% of measured Opus 5 spend; </w:t>
      </w:r>
      <w:r>
        <w:rPr>
          <w:rFonts w:ascii="Consolas" w:hAnsi="Consolas"/>
          <w:sz w:val="20"/>
        </w:rPr>
        <w:t>snippets/20-cost-reconciler.py</w:t>
      </w:r>
      <w:r>
        <w:t xml:space="preserve"> reads them from Foundry's own Azure Monitor metrics (</w:t>
      </w:r>
      <w:r>
        <w:rPr>
          <w:rFonts w:ascii="Consolas" w:hAnsi="Consolas"/>
          <w:sz w:val="20"/>
        </w:rPr>
        <w:t>cacheReadInputTokens</w:t>
      </w:r>
      <w:r>
        <w:t xml:space="preserve">, </w:t>
      </w:r>
      <w:r>
        <w:rPr>
          <w:rFonts w:ascii="Consolas" w:hAnsi="Consolas"/>
          <w:sz w:val="20"/>
        </w:rPr>
        <w:t>ephemeral5mInputTokens</w:t>
      </w:r>
      <w:r>
        <w:t xml:space="preserve">, </w:t>
      </w:r>
      <w:r>
        <w:rPr>
          <w:rFonts w:ascii="Consolas" w:hAnsi="Consolas"/>
          <w:sz w:val="20"/>
        </w:rPr>
        <w:t>ephemeral1hInputTokens</w:t>
      </w:r>
      <w:r>
        <w:t xml:space="preserve">) instead, and needs </w:t>
      </w:r>
      <w:r>
        <w:rPr>
          <w:rFonts w:ascii="Consolas" w:hAnsi="Consolas"/>
          <w:sz w:val="20"/>
        </w:rPr>
        <w:t>infra/21-reconciler-metrics-rbac.bicep</w:t>
      </w:r>
      <w:r>
        <w:t xml:space="preserve"> (Monitoring Reader on the Foundry account) to run.</w:t>
      </w:r>
    </w:p>
    <w:p>
      <w:pPr>
        <w:pStyle w:val="Heading2"/>
      </w:pPr>
      <w:r>
        <w:t>8. Rules &amp; Anti-Patterns</w:t>
      </w:r>
    </w:p>
    <w:p>
      <w:pPr>
        <w:pStyle w:val="ListBullet"/>
      </w:pPr>
      <w:r>
        <w:rPr>
          <w:b/>
        </w:rPr>
        <w:t>Do</w:t>
      </w:r>
      <w:r>
        <w:t xml:space="preserve"> decode a real token before setting </w:t>
      </w:r>
      <w:r>
        <w:rPr>
          <w:rFonts w:ascii="Consolas" w:hAnsi="Consolas"/>
          <w:sz w:val="20"/>
        </w:rPr>
        <w:t>gatewayAudience</w:t>
      </w:r>
      <w:r>
        <w:t xml:space="preserve"> — for an app with </w:t>
      </w:r>
      <w:r>
        <w:rPr>
          <w:rFonts w:ascii="Consolas" w:hAnsi="Consolas"/>
          <w:sz w:val="20"/>
        </w:rPr>
        <w:t>requestedAccessTokenVersion: 2</w:t>
      </w:r>
      <w:r>
        <w:t xml:space="preserve"> the </w:t>
      </w:r>
      <w:r>
        <w:rPr>
          <w:rFonts w:ascii="Consolas" w:hAnsi="Consolas"/>
          <w:sz w:val="20"/>
        </w:rPr>
        <w:t>aud</w:t>
      </w:r>
      <w:r>
        <w:t xml:space="preserve"> claim is the bare application ID, never </w:t>
      </w:r>
      <w:r>
        <w:rPr>
          <w:rFonts w:ascii="Consolas" w:hAnsi="Consolas"/>
          <w:sz w:val="20"/>
        </w:rPr>
        <w:t>api://&lt;guid&gt;</w:t>
      </w:r>
      <w:r>
        <w:t>, and every request 401s silently if this is wrong.</w:t>
      </w:r>
    </w:p>
    <w:p>
      <w:pPr>
        <w:pStyle w:val="ListBullet"/>
      </w:pPr>
      <w:r>
        <w:rPr>
          <w:b/>
        </w:rPr>
        <w:t>Do</w:t>
      </w:r>
      <w:r>
        <w:t xml:space="preserve"> keep </w:t>
      </w:r>
      <w:r>
        <w:rPr>
          <w:rFonts w:ascii="Consolas" w:hAnsi="Consolas"/>
          <w:sz w:val="20"/>
        </w:rPr>
        <w:t>tiersConfig</w:t>
      </w:r>
      <w:r>
        <w:t xml:space="preserve"> identical across all three templates that declare it; a mismatch throttles on one set of numbers while the processor budgets against another, with no error anywhere.</w:t>
      </w:r>
    </w:p>
    <w:p>
      <w:pPr>
        <w:pStyle w:val="ListBullet"/>
      </w:pPr>
      <w:r>
        <w:rPr>
          <w:b/>
        </w:rPr>
        <w:t>Do</w:t>
      </w:r>
      <w:r>
        <w:t xml:space="preserve"> treat the budget check as fail-open by design — an unreachable budget API must not stop 100,000 developers from working; the per-tier token quota is the synchronous backstop.</w:t>
      </w:r>
    </w:p>
    <w:p>
      <w:pPr>
        <w:pStyle w:val="ListBullet"/>
      </w:pPr>
      <w:r>
        <w:rPr>
          <w:b/>
        </w:rPr>
        <w:t>Don't</w:t>
      </w:r>
      <w:r>
        <w:t xml:space="preserve"> assume the workbook or Grafana numbers are complete dollar ceilings. Cache reads are metered; cache </w:t>
      </w:r>
      <w:r>
        <w:rPr>
          <w:b/>
        </w:rPr>
        <w:t>writes</w:t>
      </w:r>
      <w:r>
        <w:t xml:space="preserve"> are not, and the measured sample captured only about 38% of actual cost in the processor.</w:t>
      </w:r>
    </w:p>
    <w:p>
      <w:pPr>
        <w:pStyle w:val="ListBullet"/>
      </w:pPr>
      <w:r>
        <w:rPr>
          <w:b/>
        </w:rPr>
        <w:t>Don't</w:t>
      </w:r>
      <w:r>
        <w:t xml:space="preserve"> gate authorization on the </w:t>
      </w:r>
      <w:r>
        <w:rPr>
          <w:rFonts w:ascii="Consolas" w:hAnsi="Consolas"/>
          <w:sz w:val="20"/>
        </w:rPr>
        <w:t>groups</w:t>
      </w:r>
      <w:r>
        <w:t xml:space="preserve"> claim — it is capped at 200 object IDs and Entra omits it above that threshold, which is why tier and suspension are app roles.</w:t>
      </w:r>
    </w:p>
    <w:p>
      <w:pPr>
        <w:pStyle w:val="ListBullet"/>
      </w:pPr>
      <w:r>
        <w:rPr>
          <w:b/>
        </w:rPr>
        <w:t>Don't</w:t>
      </w:r>
      <w:r>
        <w:t xml:space="preserve"> apply the 5-minute cache-write rate to 1-hour writes when reconciling cost; that specific substitution caused a measured $3.28 shortfall in the seven-day sample (</w:t>
      </w:r>
      <w:r>
        <w:rPr>
          <w:rFonts w:ascii="Consolas" w:hAnsi="Consolas"/>
          <w:sz w:val="20"/>
        </w:rPr>
        <w:t>tests/test_cache_accounting.py</w:t>
      </w:r>
      <w:r>
        <w:t>).</w:t>
      </w:r>
    </w:p>
    <w:p>
      <w:pPr>
        <w:pStyle w:val="ListBullet"/>
      </w:pPr>
      <w:r>
        <w:rPr>
          <w:b/>
        </w:rPr>
        <w:t>Don't</w:t>
      </w:r>
      <w:r>
        <w:t xml:space="preserve"> try to update </w:t>
      </w:r>
      <w:r>
        <w:rPr>
          <w:rFonts w:ascii="Consolas" w:hAnsi="Consolas"/>
          <w:sz w:val="20"/>
        </w:rPr>
        <w:t>10-claude-usage-summary-rule.bicep</w:t>
      </w:r>
      <w:r>
        <w:t xml:space="preserve">'s destination table retention with </w:t>
      </w:r>
      <w:r>
        <w:rPr>
          <w:rFonts w:ascii="Consolas" w:hAnsi="Consolas"/>
          <w:sz w:val="20"/>
        </w:rPr>
        <w:t>az monitor log-analytics workspace table update</w:t>
      </w:r>
      <w:r>
        <w:t xml:space="preserve"> — it sends the whole schema and fails the summary rule's own validation; use </w:t>
      </w:r>
      <w:r>
        <w:rPr>
          <w:rFonts w:ascii="Consolas" w:hAnsi="Consolas"/>
          <w:sz w:val="20"/>
        </w:rPr>
        <w:t>az rest --method patch</w:t>
      </w:r>
      <w:r>
        <w:t>.</w:t>
      </w:r>
    </w:p>
    <w:p>
      <w:pPr>
        <w:pStyle w:val="Heading2"/>
      </w:pPr>
      <w:r>
        <w:t>9.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Category</w:t>
            </w:r>
          </w:p>
        </w:tc>
        <w:tc>
          <w:tcPr>
            <w:tcW w:type="dxa" w:w="2880"/>
          </w:tcPr>
          <w:p>
            <w:r/>
            <w:r>
              <w:t>Technology / Package</w:t>
            </w:r>
          </w:p>
        </w:tc>
        <w:tc>
          <w:tcPr>
            <w:tcW w:type="dxa" w:w="2880"/>
          </w:tcPr>
          <w:p>
            <w:r/>
            <w:r>
              <w:t>Where used</w:t>
            </w:r>
          </w:p>
        </w:tc>
      </w:tr>
      <w:tr>
        <w:tc>
          <w:tcPr>
            <w:tcW w:type="dxa" w:w="2880"/>
          </w:tcPr>
          <w:p>
            <w:r/>
            <w:r>
              <w:t>Documentation site</w:t>
            </w:r>
          </w:p>
        </w:tc>
        <w:tc>
          <w:tcPr>
            <w:tcW w:type="dxa" w:w="2880"/>
          </w:tcPr>
          <w:p>
            <w:r/>
            <w:r>
              <w:t>Jekyll (</w:t>
            </w:r>
            <w:r>
              <w:rPr>
                <w:rFonts w:ascii="Consolas" w:hAnsi="Consolas"/>
                <w:sz w:val="20"/>
              </w:rPr>
              <w:t>minima</w:t>
            </w:r>
            <w:r>
              <w:t xml:space="preserve"> theme), kramdown/GFM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_config.yml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index.md</w:t>
            </w:r>
          </w:p>
        </w:tc>
      </w:tr>
      <w:tr>
        <w:tc>
          <w:tcPr>
            <w:tcW w:type="dxa" w:w="2880"/>
          </w:tcPr>
          <w:p>
            <w:r/>
            <w:r>
              <w:t>Infra-as-code</w:t>
            </w:r>
          </w:p>
        </w:tc>
        <w:tc>
          <w:tcPr>
            <w:tcW w:type="dxa" w:w="2880"/>
          </w:tcPr>
          <w:p>
            <w:r/>
            <w:r>
              <w:t xml:space="preserve">Bicep (Azure CLI </w:t>
            </w:r>
            <w:r>
              <w:rPr>
                <w:rFonts w:ascii="Consolas" w:hAnsi="Consolas"/>
                <w:sz w:val="20"/>
              </w:rPr>
              <w:t>az bicep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infra/*.bicep</w:t>
            </w:r>
          </w:p>
        </w:tc>
      </w:tr>
      <w:tr>
        <w:tc>
          <w:tcPr>
            <w:tcW w:type="dxa" w:w="2880"/>
          </w:tcPr>
          <w:p>
            <w:r/>
            <w:r>
              <w:t>API gateway</w:t>
            </w:r>
          </w:p>
        </w:tc>
        <w:tc>
          <w:tcPr>
            <w:tcW w:type="dxa" w:w="2880"/>
          </w:tcPr>
          <w:p>
            <w:r/>
            <w:r>
              <w:t>Azure API Management v2 (</w:t>
            </w:r>
            <w:r>
              <w:rPr>
                <w:rFonts w:ascii="Consolas" w:hAnsi="Consolas"/>
                <w:sz w:val="20"/>
              </w:rPr>
              <w:t>llm-*</w:t>
            </w:r>
            <w:r>
              <w:t xml:space="preserve"> policies)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infra/04-apim-gateway.bicep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infra/03-apim-claude-policy.xml</w:t>
            </w:r>
          </w:p>
        </w:tc>
      </w:tr>
      <w:tr>
        <w:tc>
          <w:tcPr>
            <w:tcW w:type="dxa" w:w="2880"/>
          </w:tcPr>
          <w:p>
            <w:r/>
            <w:r>
              <w:t>Compute</w:t>
            </w:r>
          </w:p>
        </w:tc>
        <w:tc>
          <w:tcPr>
            <w:tcW w:type="dxa" w:w="2880"/>
          </w:tcPr>
          <w:p>
            <w:r/>
            <w:r>
              <w:t>Azure Functions (Python, Linux plan)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snippets/17-usage-processor/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snippets/18-budget-api/</w:t>
            </w:r>
          </w:p>
        </w:tc>
      </w:tr>
      <w:tr>
        <w:tc>
          <w:tcPr>
            <w:tcW w:type="dxa" w:w="2880"/>
          </w:tcPr>
          <w:p>
            <w:r/>
            <w:r>
              <w:t>Data stores</w:t>
            </w:r>
          </w:p>
        </w:tc>
        <w:tc>
          <w:tcPr>
            <w:tcW w:type="dxa" w:w="2880"/>
          </w:tcPr>
          <w:p>
            <w:r/>
            <w:r>
              <w:t>Azure Cache for Redis, Azure Cosmos DB, Log Analytics workspace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infra/16-budget-platform.bicep</w:t>
            </w:r>
          </w:p>
        </w:tc>
      </w:tr>
      <w:tr>
        <w:tc>
          <w:tcPr>
            <w:tcW w:type="dxa" w:w="2880"/>
          </w:tcPr>
          <w:p>
            <w:r/>
            <w:r>
              <w:t>Reporting</w:t>
            </w:r>
          </w:p>
        </w:tc>
        <w:tc>
          <w:tcPr>
            <w:tcW w:type="dxa" w:w="2880"/>
          </w:tcPr>
          <w:p>
            <w:r/>
            <w:r>
              <w:t>Azure Monitor Workbooks, Azure Managed Grafana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infra/08/09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infra/11</w:t>
            </w:r>
            <w:r>
              <w:t>–</w:t>
            </w:r>
            <w:r>
              <w:rPr>
                <w:rFonts w:ascii="Consolas" w:hAnsi="Consolas"/>
                <w:sz w:val="20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t>Python libraries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azure-functions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azure-cosmos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azure-identity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redis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azure-monitor-ingestion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requests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snippets/17-usage-processor/requirements.txt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snippets/18-budget-api/requirements.txt</w:t>
            </w:r>
          </w:p>
        </w:tc>
      </w:tr>
      <w:tr>
        <w:tc>
          <w:tcPr>
            <w:tcW w:type="dxa" w:w="2880"/>
          </w:tcPr>
          <w:p>
            <w:r/>
            <w:r>
              <w:t>Testing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unittest</w:t>
            </w:r>
            <w:r>
              <w:t xml:space="preserve"> (standard library)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tests/test_cache_accounting.py</w:t>
            </w:r>
          </w:p>
        </w:tc>
      </w:tr>
      <w:tr>
        <w:tc>
          <w:tcPr>
            <w:tcW w:type="dxa" w:w="2880"/>
          </w:tcPr>
          <w:p>
            <w:r/>
            <w:r>
              <w:t>Site build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bundle</w:t>
            </w:r>
            <w:r>
              <w:t xml:space="preserve"> / Gemfile (Ruby, Jekyll)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Gemfile</w:t>
            </w:r>
          </w:p>
        </w:tc>
      </w:tr>
    </w:tbl>
    <w:p/>
    <w:p>
      <w:pPr>
        <w:pStyle w:val="Heading2"/>
      </w:pPr>
      <w:r>
        <w:t>10. Code Structure</w:t>
      </w:r>
    </w:p>
    <w:p>
      <w:pPr>
        <w:ind w:left="360"/>
      </w:pPr>
      <w:r>
        <w:rPr>
          <w:rFonts w:ascii="Consolas" w:hAnsi="Consolas"/>
          <w:sz w:val="18"/>
        </w:rPr>
        <w:t>index.md                    the guide (1,068 lines) — Parts 1-7 plus governance/decision tables</w:t>
      </w:r>
      <w:r>
        <w:rPr>
          <w:rFonts w:ascii="Consolas" w:hAnsi="Consolas"/>
          <w:sz w:val="18"/>
        </w:rPr>
        <w:br/>
        <w:t>README.md                    repo overview, deploy pointer, licensing</w:t>
      </w:r>
      <w:r>
        <w:rPr>
          <w:rFonts w:ascii="Consolas" w:hAnsi="Consolas"/>
          <w:sz w:val="18"/>
        </w:rPr>
        <w:br/>
        <w:t>TIERED-QUOTAS.md             design doc: three tiers, per-developer $ budgets at ~100K developers</w:t>
      </w:r>
      <w:r>
        <w:rPr>
          <w:rFonts w:ascii="Consolas" w:hAnsi="Consolas"/>
          <w:sz w:val="18"/>
        </w:rPr>
        <w:br/>
        <w:t>CACHE-TOKEN-ANALYSIS.md      measured cache-accounting gaps and remediation review</w:t>
      </w:r>
      <w:r>
        <w:rPr>
          <w:rFonts w:ascii="Consolas" w:hAnsi="Consolas"/>
          <w:sz w:val="18"/>
        </w:rPr>
        <w:br/>
        <w:t>AIGATEWAY-ISSUE-DRAFT.md     draft issue text</w:t>
      </w:r>
      <w:r>
        <w:rPr>
          <w:rFonts w:ascii="Consolas" w:hAnsi="Consolas"/>
          <w:sz w:val="18"/>
        </w:rPr>
        <w:br/>
        <w:t>images/                      guide screenshots + architecture.drawio, tiered-quotas-architecture.drawio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infra/                       deployable Bicep + the APIM policy XML + workbook/dashboard JSON</w:t>
      </w:r>
      <w:r>
        <w:rPr>
          <w:rFonts w:ascii="Consolas" w:hAnsi="Consolas"/>
          <w:sz w:val="18"/>
        </w:rPr>
        <w:br/>
        <w:t xml:space="preserve">  03-apim-claude-policy.xml          inbound policy: auth, tier, budget, MI backend auth</w:t>
      </w:r>
      <w:r>
        <w:rPr>
          <w:rFonts w:ascii="Consolas" w:hAnsi="Consolas"/>
          <w:sz w:val="18"/>
        </w:rPr>
        <w:br/>
        <w:t xml:space="preserve">  04-apim-gateway.bicep               APIM v2 + identity + API + named values + role assignment</w:t>
      </w:r>
      <w:r>
        <w:rPr>
          <w:rFonts w:ascii="Consolas" w:hAnsi="Consolas"/>
          <w:sz w:val="18"/>
        </w:rPr>
        <w:br/>
        <w:t xml:space="preserve">  08-claude-usage-workbook.json       admin workbook definition (embedded by 09)</w:t>
      </w:r>
      <w:r>
        <w:rPr>
          <w:rFonts w:ascii="Consolas" w:hAnsi="Consolas"/>
          <w:sz w:val="18"/>
        </w:rPr>
        <w:br/>
        <w:t xml:space="preserve">  09-workbook.bicep                   deploys the workbook</w:t>
      </w:r>
      <w:r>
        <w:rPr>
          <w:rFonts w:ascii="Consolas" w:hAnsi="Consolas"/>
          <w:sz w:val="18"/>
        </w:rPr>
        <w:br/>
        <w:t xml:space="preserve">  10-claude-usage-summary-rule.bicep  hourly rollup past 30-day raw retention</w:t>
      </w:r>
      <w:r>
        <w:rPr>
          <w:rFonts w:ascii="Consolas" w:hAnsi="Consolas"/>
          <w:sz w:val="18"/>
        </w:rPr>
        <w:br/>
        <w:t xml:space="preserve">  11-grafana.bicep / 11a-*rbac.bicep  Azure Managed Grafana + cross-RG RBAC</w:t>
      </w:r>
      <w:r>
        <w:rPr>
          <w:rFonts w:ascii="Consolas" w:hAnsi="Consolas"/>
          <w:sz w:val="18"/>
        </w:rPr>
        <w:br/>
        <w:t xml:space="preserve">  12-claude-usage-grafana-dashboard.json  20-panel dashboard definition</w:t>
      </w:r>
      <w:r>
        <w:rPr>
          <w:rFonts w:ascii="Consolas" w:hAnsi="Consolas"/>
          <w:sz w:val="18"/>
        </w:rPr>
        <w:br/>
        <w:t xml:space="preserve">  13-import-grafana-dashboard.sh      imports the dashboard (no ARM path for AMG dashboards)</w:t>
      </w:r>
      <w:r>
        <w:rPr>
          <w:rFonts w:ascii="Consolas" w:hAnsi="Consolas"/>
          <w:sz w:val="18"/>
        </w:rPr>
        <w:br/>
        <w:t xml:space="preserve">  14-claude-tiers.bicep               ClaudeTiers() KQL function + PRICING_CL + DCR</w:t>
      </w:r>
      <w:r>
        <w:rPr>
          <w:rFonts w:ascii="Consolas" w:hAnsi="Consolas"/>
          <w:sz w:val="18"/>
        </w:rPr>
        <w:br/>
        <w:t xml:space="preserve">  16-budget-platform.bicep            Event Hub, Redis, Cosmos, two Function Apps</w:t>
      </w:r>
      <w:r>
        <w:rPr>
          <w:rFonts w:ascii="Consolas" w:hAnsi="Consolas"/>
          <w:sz w:val="18"/>
        </w:rPr>
        <w:br/>
        <w:t xml:space="preserve">  21-reconciler-metrics-rbac.bicep    Monitoring Reader module for the cost reconciler</w:t>
      </w:r>
      <w:r>
        <w:rPr>
          <w:rFonts w:ascii="Consolas" w:hAnsi="Consolas"/>
          <w:sz w:val="18"/>
        </w:rPr>
        <w:br/>
        <w:t xml:space="preserve">  README.md                           prerequisites, deploy order, per-template verification status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snippets/                    code that runs against the deployed platform</w:t>
      </w:r>
      <w:r>
        <w:rPr>
          <w:rFonts w:ascii="Consolas" w:hAnsi="Consolas"/>
          <w:sz w:val="18"/>
        </w:rPr>
        <w:br/>
        <w:t xml:space="preserve">  01-curl-entra.sh, 02-python-entra.py    keyless Entra auth examples (cURL, AnthropicFoundry SDK)</w:t>
      </w:r>
      <w:r>
        <w:rPr>
          <w:rFonts w:ascii="Consolas" w:hAnsi="Consolas"/>
          <w:sz w:val="18"/>
        </w:rPr>
        <w:br/>
        <w:t xml:space="preserve">  05-gateway-smoke-test.sh                positive/negative/streaming gateway smoke tests</w:t>
      </w:r>
      <w:r>
        <w:rPr>
          <w:rFonts w:ascii="Consolas" w:hAnsi="Consolas"/>
          <w:sz w:val="18"/>
        </w:rPr>
        <w:br/>
        <w:t xml:space="preserve">  06-claude-code-managed-settings.json    admin-pushed Claude Code settings</w:t>
      </w:r>
      <w:r>
        <w:rPr>
          <w:rFonts w:ascii="Consolas" w:hAnsi="Consolas"/>
          <w:sz w:val="18"/>
        </w:rPr>
        <w:br/>
        <w:t xml:space="preserve">  07-claude-gateway-token.sh              apiKeyHelper minting a per-user Entra token</w:t>
      </w:r>
      <w:r>
        <w:rPr>
          <w:rFonts w:ascii="Consolas" w:hAnsi="Consolas"/>
          <w:sz w:val="18"/>
        </w:rPr>
        <w:br/>
        <w:t xml:space="preserve">  15-load-pricing.py                      maintained Claude prices -&gt; PRICING_CL (+ Redis)</w:t>
      </w:r>
      <w:r>
        <w:rPr>
          <w:rFonts w:ascii="Consolas" w:hAnsi="Consolas"/>
          <w:sz w:val="18"/>
        </w:rPr>
        <w:br/>
        <w:t xml:space="preserve">  17-usage-processor/function_app.py      Event Hub trigger: price, count, flag over-budget</w:t>
      </w:r>
      <w:r>
        <w:rPr>
          <w:rFonts w:ascii="Consolas" w:hAnsi="Consolas"/>
          <w:sz w:val="18"/>
        </w:rPr>
        <w:br/>
        <w:t xml:space="preserve">  18-budget-api/function_app.py           the boolean the gateway policy asks</w:t>
      </w:r>
      <w:r>
        <w:rPr>
          <w:rFonts w:ascii="Consolas" w:hAnsi="Consolas"/>
          <w:sz w:val="18"/>
        </w:rPr>
        <w:br/>
        <w:t xml:space="preserve">  19-tier-smoke-test.sh                   per-tier limits, rejection reasons, fail-open</w:t>
      </w:r>
      <w:r>
        <w:rPr>
          <w:rFonts w:ascii="Consolas" w:hAnsi="Consolas"/>
          <w:sz w:val="18"/>
        </w:rPr>
        <w:br/>
        <w:t xml:space="preserve">  20-cost-reconciler.py                   Foundry cache-write metrics -&gt; ClaudeCostRollup_CL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tests/</w:t>
      </w:r>
      <w:r>
        <w:rPr>
          <w:rFonts w:ascii="Consolas" w:hAnsi="Consolas"/>
          <w:sz w:val="18"/>
        </w:rPr>
        <w:br/>
        <w:t xml:space="preserve">  test_cache_accounting.py     regression tests for pricing and processor arithmetic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docs/                         generated documentation (this file, diagrams, Word 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