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200" w:line="360" w:lineRule="auto"/>
        <w:jc w:val="center"/>
      </w:pPr>
      <w:r>
        <w:rPr>
          <w:rFonts w:ascii="Times New Roman" w:hAnsi="Times New Roman"/>
          <w:b/>
          <w:i w:val="0"/>
          <w:color w:val="002060"/>
          <w:sz w:val="30"/>
        </w:rPr>
        <w:t>HEART DISEASE PREDICTION SYSTEM USING MACHINE LEARNING TECHNIQUES</w:t>
      </w:r>
    </w:p>
    <w:p>
      <w:pPr>
        <w:spacing w:before="0" w:after="160" w:line="360" w:lineRule="auto"/>
        <w:jc w:val="center"/>
      </w:pPr>
      <w:r>
        <w:rPr>
          <w:rFonts w:ascii="Times New Roman" w:hAnsi="Times New Roman"/>
          <w:b/>
          <w:i w:val="0"/>
          <w:color w:val="800000"/>
          <w:sz w:val="28"/>
        </w:rPr>
        <w:t>MAJOR PROJECT SYNOPSIS</w:t>
      </w:r>
    </w:p>
    <w:p>
      <w:pPr>
        <w:spacing w:before="0" w:after="40" w:line="360" w:lineRule="auto"/>
        <w:jc w:val="center"/>
      </w:pPr>
      <w:r>
        <w:rPr>
          <w:rFonts w:ascii="Times New Roman" w:hAnsi="Times New Roman"/>
          <w:b w:val="0"/>
          <w:i/>
          <w:color w:val="222222"/>
          <w:sz w:val="21"/>
        </w:rPr>
        <w:t>Submitted in partial fulfilment of the requirement for the award of the degree of</w:t>
      </w:r>
    </w:p>
    <w:p>
      <w:pPr>
        <w:spacing w:before="0" w:after="40" w:line="360" w:lineRule="auto"/>
        <w:jc w:val="center"/>
      </w:pPr>
      <w:r>
        <w:rPr>
          <w:rFonts w:ascii="Times New Roman" w:hAnsi="Times New Roman"/>
          <w:b/>
          <w:i w:val="0"/>
          <w:color w:val="222222"/>
          <w:sz w:val="25"/>
        </w:rPr>
        <w:t>Bachelor of Technology</w:t>
      </w:r>
    </w:p>
    <w:p>
      <w:pPr>
        <w:spacing w:before="0" w:after="40" w:line="360" w:lineRule="auto"/>
        <w:jc w:val="center"/>
      </w:pPr>
      <w:r>
        <w:rPr>
          <w:rFonts w:ascii="Times New Roman" w:hAnsi="Times New Roman"/>
          <w:b w:val="0"/>
          <w:i/>
          <w:color w:val="222222"/>
          <w:sz w:val="21"/>
        </w:rPr>
        <w:t>in</w:t>
      </w:r>
    </w:p>
    <w:p>
      <w:pPr>
        <w:spacing w:before="0" w:after="200" w:line="360" w:lineRule="auto"/>
        <w:jc w:val="center"/>
      </w:pPr>
      <w:r>
        <w:rPr>
          <w:rFonts w:ascii="Times New Roman" w:hAnsi="Times New Roman"/>
          <w:b/>
          <w:i w:val="0"/>
          <w:color w:val="800000"/>
          <w:sz w:val="24"/>
        </w:rPr>
        <w:t>Computer Science &amp; Engineering – AIML</w:t>
      </w:r>
    </w:p>
    <w:p>
      <w:pPr>
        <w:spacing w:before="0" w:after="40" w:line="360" w:lineRule="auto"/>
        <w:jc w:val="center"/>
      </w:pPr>
      <w:r>
        <w:rPr>
          <w:rFonts w:ascii="Times New Roman" w:hAnsi="Times New Roman"/>
          <w:b w:val="0"/>
          <w:i/>
          <w:color w:val="222222"/>
          <w:sz w:val="21"/>
        </w:rPr>
        <w:t>Submitted to</w:t>
      </w:r>
    </w:p>
    <w:p>
      <w:pPr>
        <w:spacing w:before="0" w:after="200" w:line="360" w:lineRule="auto"/>
        <w:jc w:val="center"/>
      </w:pPr>
      <w:r>
        <w:rPr>
          <w:rFonts w:ascii="Times New Roman" w:hAnsi="Times New Roman"/>
          <w:b/>
          <w:i w:val="0"/>
          <w:color w:val="002060"/>
          <w:sz w:val="22"/>
        </w:rPr>
        <w:t>DR. A.P.J. ABDUL KALAM TECHNICAL UNIVERSITY, UTTAR PRADESH, LUCKNOW</w:t>
      </w:r>
    </w:p>
    <w:p>
      <w:pPr>
        <w:spacing w:after="200"/>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463040" cy="1463040"/>
                    </a:xfrm>
                    <a:prstGeom prst="rect"/>
                  </pic:spPr>
                </pic:pic>
              </a:graphicData>
            </a:graphic>
          </wp:inline>
        </w:drawing>
      </w:r>
    </w:p>
    <w:tbl>
      <w:tblPr>
        <w:tblW w:type="auto" w:w="0"/>
        <w:jc w:val="center"/>
        <w:tblLayout w:type="fixed"/>
        <w:tblLook w:firstColumn="1" w:firstRow="1" w:lastColumn="0" w:lastRow="0" w:noHBand="0" w:noVBand="1" w:val="04A0"/>
      </w:tblPr>
      <w:tblGrid>
        <w:gridCol w:w="4891"/>
        <w:gridCol w:w="4891"/>
      </w:tblGrid>
      <w:tr>
        <w:tc>
          <w:tcPr>
            <w:tcW w:type="dxa" w:w="5184"/>
          </w:tcPr>
          <w:p>
            <w:pPr>
              <w:jc w:val="left"/>
            </w:pPr>
            <w:r>
              <w:rPr>
                <w:b/>
                <w:sz w:val="21"/>
              </w:rPr>
              <w:t>Submitted by:</w:t>
            </w:r>
          </w:p>
          <w:p>
            <w:pPr>
              <w:spacing w:line="288" w:lineRule="auto" w:after="40"/>
            </w:pPr>
            <w:r>
              <w:rPr>
                <w:sz w:val="20"/>
              </w:rPr>
              <w:t>1. Monu Sharma</w:t>
              <w:br/>
              <w:t xml:space="preserve">   Roll No: [2301530100xxx]  Sec: B</w:t>
              <w:br/>
            </w:r>
            <w:r>
              <w:rPr>
                <w:sz w:val="20"/>
              </w:rPr>
              <w:t>2. [Student Name 2]</w:t>
              <w:br/>
              <w:t xml:space="preserve">   Roll No: [2301530100xxx]  Sec: B</w:t>
              <w:br/>
            </w:r>
            <w:r>
              <w:rPr>
                <w:sz w:val="20"/>
              </w:rPr>
              <w:t>3. [Student Name 3]</w:t>
              <w:br/>
              <w:t xml:space="preserve">   Roll No: [2301530100xxx]  Sec: B</w:t>
            </w:r>
          </w:p>
        </w:tc>
        <w:tc>
          <w:tcPr>
            <w:tcW w:type="dxa" w:w="5184"/>
          </w:tcPr>
          <w:p>
            <w:pPr>
              <w:jc w:val="left"/>
            </w:pPr>
            <w:r>
              <w:rPr>
                <w:b/>
                <w:sz w:val="21"/>
              </w:rPr>
              <w:t>Under the Supervision of:</w:t>
            </w:r>
          </w:p>
          <w:p>
            <w:pPr>
              <w:spacing w:line="288" w:lineRule="auto" w:after="40"/>
            </w:pPr>
            <w:r>
              <w:rPr>
                <w:b/>
                <w:sz w:val="21"/>
              </w:rPr>
              <w:t>[Name of Faculty Guide]</w:t>
              <w:br/>
            </w:r>
            <w:r>
              <w:rPr>
                <w:sz w:val="20"/>
              </w:rPr>
              <w:t>Assistant Professor</w:t>
              <w:br/>
              <w:t>Department of Computer Science &amp; Engineering</w:t>
            </w:r>
          </w:p>
        </w:tc>
      </w:tr>
    </w:tbl>
    <w:p>
      <w:pPr>
        <w:spacing w:before="160" w:after="80"/>
        <w:jc w:val="center"/>
      </w:pPr>
      <w:r>
        <w:drawing>
          <wp:inline xmlns:a="http://schemas.openxmlformats.org/drawingml/2006/main" xmlns:pic="http://schemas.openxmlformats.org/drawingml/2006/picture">
            <wp:extent cx="1280160" cy="1271738"/>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280160" cy="1271738"/>
                    </a:xfrm>
                    <a:prstGeom prst="rect"/>
                  </pic:spPr>
                </pic:pic>
              </a:graphicData>
            </a:graphic>
          </wp:inline>
        </w:drawing>
      </w:r>
    </w:p>
    <w:p>
      <w:pPr>
        <w:spacing w:before="0" w:after="40" w:line="360" w:lineRule="auto"/>
        <w:jc w:val="center"/>
      </w:pPr>
      <w:r>
        <w:rPr>
          <w:rFonts w:ascii="Times New Roman" w:hAnsi="Times New Roman"/>
          <w:b/>
          <w:i w:val="0"/>
          <w:color w:val="002060"/>
          <w:sz w:val="22"/>
        </w:rPr>
        <w:t>Department of Computer Science &amp; Engineering</w:t>
      </w:r>
    </w:p>
    <w:p>
      <w:pPr>
        <w:spacing w:before="0" w:after="40" w:line="360" w:lineRule="auto"/>
        <w:jc w:val="center"/>
      </w:pPr>
      <w:r>
        <w:rPr>
          <w:rFonts w:ascii="Times New Roman" w:hAnsi="Times New Roman"/>
          <w:b/>
          <w:i w:val="0"/>
          <w:color w:val="800000"/>
          <w:sz w:val="24"/>
        </w:rPr>
        <w:t>Lloyd Institute of Engineering &amp; Technology</w:t>
      </w:r>
    </w:p>
    <w:p>
      <w:pPr>
        <w:spacing w:before="0" w:after="40" w:line="360" w:lineRule="auto"/>
        <w:jc w:val="center"/>
      </w:pPr>
      <w:r>
        <w:rPr>
          <w:rFonts w:ascii="Times New Roman" w:hAnsi="Times New Roman"/>
          <w:b w:val="0"/>
          <w:i w:val="0"/>
          <w:color w:val="222222"/>
          <w:sz w:val="19"/>
        </w:rPr>
        <w:t>Plot No. 3, Knowledge Park II, Greater Noida, Uttar Pradesh 201306</w:t>
      </w:r>
    </w:p>
    <w:p>
      <w:pPr>
        <w:spacing w:before="0" w:after="0" w:line="360" w:lineRule="auto"/>
        <w:jc w:val="center"/>
      </w:pPr>
      <w:r>
        <w:rPr>
          <w:rFonts w:ascii="Times New Roman" w:hAnsi="Times New Roman"/>
          <w:b/>
          <w:i w:val="0"/>
          <w:color w:val="222222"/>
          <w:sz w:val="21"/>
        </w:rPr>
        <w:t>Session: 2026–27</w:t>
      </w:r>
    </w:p>
    <w:p>
      <w:r>
        <w:br w:type="page"/>
      </w:r>
    </w:p>
    <w:p>
      <w:pPr>
        <w:keepNext/>
        <w:spacing w:before="280" w:after="120" w:line="360" w:lineRule="auto"/>
      </w:pPr>
      <w:r>
        <w:rPr>
          <w:rFonts w:ascii="Times New Roman" w:hAnsi="Times New Roman"/>
          <w:b/>
          <w:color w:val="002060"/>
          <w:sz w:val="30"/>
        </w:rPr>
        <w:t>INDEX</w:t>
      </w:r>
    </w:p>
    <w:tbl>
      <w:tblPr>
        <w:tblW w:type="auto" w:w="0"/>
        <w:jc w:val="center"/>
        <w:tblLayout w:type="fixed"/>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3261"/>
        <w:gridCol w:w="3261"/>
        <w:gridCol w:w="3261"/>
      </w:tblGrid>
      <w:tr>
        <w:tc>
          <w:tcPr>
            <w:tcW w:type="dxa" w:w="1440"/>
            <w:shd w:fill="002060"/>
            <w:tcMar>
              <w:top w:w="100" w:type="dxa"/>
              <w:bottom w:w="100" w:type="dxa"/>
              <w:left w:w="120" w:type="dxa"/>
              <w:right w:w="120" w:type="dxa"/>
            </w:tcMar>
          </w:tcPr>
          <w:p>
            <w:pPr>
              <w:jc w:val="center"/>
            </w:pPr>
            <w:r>
              <w:rPr>
                <w:rFonts w:ascii="Times New Roman" w:hAnsi="Times New Roman"/>
                <w:b/>
                <w:color w:val="FFFFFF"/>
                <w:sz w:val="21"/>
              </w:rPr>
              <w:t>Sr. No.</w:t>
            </w:r>
          </w:p>
        </w:tc>
        <w:tc>
          <w:tcPr>
            <w:tcW w:type="dxa" w:w="6480"/>
            <w:shd w:fill="002060"/>
            <w:tcMar>
              <w:top w:w="100" w:type="dxa"/>
              <w:bottom w:w="100" w:type="dxa"/>
              <w:left w:w="120" w:type="dxa"/>
              <w:right w:w="120" w:type="dxa"/>
            </w:tcMar>
          </w:tcPr>
          <w:p>
            <w:pPr>
              <w:jc w:val="left"/>
            </w:pPr>
            <w:r>
              <w:rPr>
                <w:rFonts w:ascii="Times New Roman" w:hAnsi="Times New Roman"/>
                <w:b/>
                <w:color w:val="FFFFFF"/>
                <w:sz w:val="21"/>
              </w:rPr>
              <w:t>Topic</w:t>
            </w:r>
          </w:p>
        </w:tc>
        <w:tc>
          <w:tcPr>
            <w:tcW w:type="dxa" w:w="2160"/>
            <w:shd w:fill="002060"/>
            <w:tcMar>
              <w:top w:w="100" w:type="dxa"/>
              <w:bottom w:w="100" w:type="dxa"/>
              <w:left w:w="120" w:type="dxa"/>
              <w:right w:w="120" w:type="dxa"/>
            </w:tcMar>
          </w:tcPr>
          <w:p>
            <w:pPr>
              <w:jc w:val="center"/>
            </w:pPr>
            <w:r>
              <w:rPr>
                <w:rFonts w:ascii="Times New Roman" w:hAnsi="Times New Roman"/>
                <w:b/>
                <w:color w:val="FFFFFF"/>
                <w:sz w:val="21"/>
              </w:rPr>
              <w:t>Page No.</w:t>
            </w:r>
          </w:p>
        </w:tc>
      </w:tr>
      <w:tr>
        <w:tc>
          <w:tcPr>
            <w:tcW w:type="dxa" w:w="1440"/>
            <w:shd w:fill="F2F4F7"/>
            <w:tcMar>
              <w:top w:w="80" w:type="dxa"/>
              <w:bottom w:w="80" w:type="dxa"/>
              <w:left w:w="120" w:type="dxa"/>
              <w:right w:w="120" w:type="dxa"/>
            </w:tcMar>
          </w:tcPr>
          <w:p>
            <w:pPr>
              <w:jc w:val="center"/>
            </w:pPr>
            <w:r>
              <w:rPr>
                <w:rFonts w:ascii="Times New Roman" w:hAnsi="Times New Roman"/>
                <w:sz w:val="20"/>
              </w:rPr>
              <w:t>01</w:t>
            </w:r>
          </w:p>
        </w:tc>
        <w:tc>
          <w:tcPr>
            <w:tcW w:type="dxa" w:w="6480"/>
            <w:shd w:fill="F2F4F7"/>
            <w:tcMar>
              <w:top w:w="80" w:type="dxa"/>
              <w:bottom w:w="80" w:type="dxa"/>
              <w:left w:w="120" w:type="dxa"/>
              <w:right w:w="120" w:type="dxa"/>
            </w:tcMar>
          </w:tcPr>
          <w:p>
            <w:pPr>
              <w:jc w:val="left"/>
            </w:pPr>
            <w:r>
              <w:rPr>
                <w:rFonts w:ascii="Times New Roman" w:hAnsi="Times New Roman"/>
                <w:sz w:val="20"/>
              </w:rPr>
              <w:t>Introduction</w:t>
            </w:r>
          </w:p>
        </w:tc>
        <w:tc>
          <w:tcPr>
            <w:tcW w:type="dxa" w:w="2160"/>
            <w:shd w:fill="F2F4F7"/>
            <w:tcMar>
              <w:top w:w="80" w:type="dxa"/>
              <w:bottom w:w="80" w:type="dxa"/>
              <w:left w:w="120" w:type="dxa"/>
              <w:right w:w="120" w:type="dxa"/>
            </w:tcMar>
          </w:tcPr>
          <w:p>
            <w:pPr>
              <w:jc w:val="center"/>
            </w:pPr>
            <w:r>
              <w:rPr>
                <w:rFonts w:ascii="Times New Roman" w:hAnsi="Times New Roman"/>
                <w:sz w:val="20"/>
              </w:rPr>
              <w:t>1 – 2</w:t>
            </w:r>
          </w:p>
        </w:tc>
      </w:tr>
      <w:tr>
        <w:tc>
          <w:tcPr>
            <w:tcW w:type="dxa" w:w="1440"/>
            <w:tcMar>
              <w:top w:w="80" w:type="dxa"/>
              <w:bottom w:w="80" w:type="dxa"/>
              <w:left w:w="120" w:type="dxa"/>
              <w:right w:w="120" w:type="dxa"/>
            </w:tcMar>
          </w:tcPr>
          <w:p>
            <w:pPr>
              <w:jc w:val="center"/>
            </w:pPr>
            <w:r>
              <w:rPr>
                <w:rFonts w:ascii="Times New Roman" w:hAnsi="Times New Roman"/>
                <w:sz w:val="20"/>
              </w:rPr>
              <w:t>02</w:t>
            </w:r>
          </w:p>
        </w:tc>
        <w:tc>
          <w:tcPr>
            <w:tcW w:type="dxa" w:w="6480"/>
            <w:tcMar>
              <w:top w:w="80" w:type="dxa"/>
              <w:bottom w:w="80" w:type="dxa"/>
              <w:left w:w="120" w:type="dxa"/>
              <w:right w:w="120" w:type="dxa"/>
            </w:tcMar>
          </w:tcPr>
          <w:p>
            <w:pPr>
              <w:jc w:val="left"/>
            </w:pPr>
            <w:r>
              <w:rPr>
                <w:rFonts w:ascii="Times New Roman" w:hAnsi="Times New Roman"/>
                <w:sz w:val="20"/>
              </w:rPr>
              <w:t>Statement of Problem and Objectives</w:t>
            </w:r>
          </w:p>
        </w:tc>
        <w:tc>
          <w:tcPr>
            <w:tcW w:type="dxa" w:w="2160"/>
            <w:tcMar>
              <w:top w:w="80" w:type="dxa"/>
              <w:bottom w:w="80" w:type="dxa"/>
              <w:left w:w="120" w:type="dxa"/>
              <w:right w:w="120" w:type="dxa"/>
            </w:tcMar>
          </w:tcPr>
          <w:p>
            <w:pPr>
              <w:jc w:val="center"/>
            </w:pPr>
            <w:r>
              <w:rPr>
                <w:rFonts w:ascii="Times New Roman" w:hAnsi="Times New Roman"/>
                <w:sz w:val="20"/>
              </w:rPr>
              <w:t>3</w:t>
            </w:r>
          </w:p>
        </w:tc>
      </w:tr>
      <w:tr>
        <w:tc>
          <w:tcPr>
            <w:tcW w:type="dxa" w:w="1440"/>
            <w:shd w:fill="F2F4F7"/>
            <w:tcMar>
              <w:top w:w="80" w:type="dxa"/>
              <w:bottom w:w="80" w:type="dxa"/>
              <w:left w:w="120" w:type="dxa"/>
              <w:right w:w="120" w:type="dxa"/>
            </w:tcMar>
          </w:tcPr>
          <w:p>
            <w:pPr>
              <w:jc w:val="center"/>
            </w:pPr>
            <w:r>
              <w:rPr>
                <w:rFonts w:ascii="Times New Roman" w:hAnsi="Times New Roman"/>
                <w:sz w:val="20"/>
              </w:rPr>
              <w:t>03</w:t>
            </w:r>
          </w:p>
        </w:tc>
        <w:tc>
          <w:tcPr>
            <w:tcW w:type="dxa" w:w="6480"/>
            <w:shd w:fill="F2F4F7"/>
            <w:tcMar>
              <w:top w:w="80" w:type="dxa"/>
              <w:bottom w:w="80" w:type="dxa"/>
              <w:left w:w="120" w:type="dxa"/>
              <w:right w:w="120" w:type="dxa"/>
            </w:tcMar>
          </w:tcPr>
          <w:p>
            <w:pPr>
              <w:jc w:val="left"/>
            </w:pPr>
            <w:r>
              <w:rPr>
                <w:rFonts w:ascii="Times New Roman" w:hAnsi="Times New Roman"/>
                <w:sz w:val="20"/>
              </w:rPr>
              <w:t>Literature Survey</w:t>
            </w:r>
          </w:p>
        </w:tc>
        <w:tc>
          <w:tcPr>
            <w:tcW w:type="dxa" w:w="2160"/>
            <w:shd w:fill="F2F4F7"/>
            <w:tcMar>
              <w:top w:w="80" w:type="dxa"/>
              <w:bottom w:w="80" w:type="dxa"/>
              <w:left w:w="120" w:type="dxa"/>
              <w:right w:w="120" w:type="dxa"/>
            </w:tcMar>
          </w:tcPr>
          <w:p>
            <w:pPr>
              <w:jc w:val="center"/>
            </w:pPr>
            <w:r>
              <w:rPr>
                <w:rFonts w:ascii="Times New Roman" w:hAnsi="Times New Roman"/>
                <w:sz w:val="20"/>
              </w:rPr>
              <w:t>4</w:t>
            </w:r>
          </w:p>
        </w:tc>
      </w:tr>
      <w:tr>
        <w:tc>
          <w:tcPr>
            <w:tcW w:type="dxa" w:w="1440"/>
            <w:tcMar>
              <w:top w:w="80" w:type="dxa"/>
              <w:bottom w:w="80" w:type="dxa"/>
              <w:left w:w="120" w:type="dxa"/>
              <w:right w:w="120" w:type="dxa"/>
            </w:tcMar>
          </w:tcPr>
          <w:p>
            <w:pPr>
              <w:jc w:val="center"/>
            </w:pPr>
            <w:r>
              <w:rPr>
                <w:rFonts w:ascii="Times New Roman" w:hAnsi="Times New Roman"/>
                <w:sz w:val="20"/>
              </w:rPr>
              <w:t>04</w:t>
            </w:r>
          </w:p>
        </w:tc>
        <w:tc>
          <w:tcPr>
            <w:tcW w:type="dxa" w:w="6480"/>
            <w:tcMar>
              <w:top w:w="80" w:type="dxa"/>
              <w:bottom w:w="80" w:type="dxa"/>
              <w:left w:w="120" w:type="dxa"/>
              <w:right w:w="120" w:type="dxa"/>
            </w:tcMar>
          </w:tcPr>
          <w:p>
            <w:pPr>
              <w:jc w:val="left"/>
            </w:pPr>
            <w:r>
              <w:rPr>
                <w:rFonts w:ascii="Times New Roman" w:hAnsi="Times New Roman"/>
                <w:sz w:val="20"/>
              </w:rPr>
              <w:t>Expected Outcome / Scope of the Project</w:t>
            </w:r>
          </w:p>
        </w:tc>
        <w:tc>
          <w:tcPr>
            <w:tcW w:type="dxa" w:w="2160"/>
            <w:tcMar>
              <w:top w:w="80" w:type="dxa"/>
              <w:bottom w:w="80" w:type="dxa"/>
              <w:left w:w="120" w:type="dxa"/>
              <w:right w:w="120" w:type="dxa"/>
            </w:tcMar>
          </w:tcPr>
          <w:p>
            <w:pPr>
              <w:jc w:val="center"/>
            </w:pPr>
            <w:r>
              <w:rPr>
                <w:rFonts w:ascii="Times New Roman" w:hAnsi="Times New Roman"/>
                <w:sz w:val="20"/>
              </w:rPr>
              <w:t>5</w:t>
            </w:r>
          </w:p>
        </w:tc>
      </w:tr>
      <w:tr>
        <w:tc>
          <w:tcPr>
            <w:tcW w:type="dxa" w:w="1440"/>
            <w:shd w:fill="F2F4F7"/>
            <w:tcMar>
              <w:top w:w="80" w:type="dxa"/>
              <w:bottom w:w="80" w:type="dxa"/>
              <w:left w:w="120" w:type="dxa"/>
              <w:right w:w="120" w:type="dxa"/>
            </w:tcMar>
          </w:tcPr>
          <w:p>
            <w:pPr>
              <w:jc w:val="center"/>
            </w:pPr>
            <w:r>
              <w:rPr>
                <w:rFonts w:ascii="Times New Roman" w:hAnsi="Times New Roman"/>
                <w:sz w:val="20"/>
              </w:rPr>
              <w:t>05</w:t>
            </w:r>
          </w:p>
        </w:tc>
        <w:tc>
          <w:tcPr>
            <w:tcW w:type="dxa" w:w="6480"/>
            <w:shd w:fill="F2F4F7"/>
            <w:tcMar>
              <w:top w:w="80" w:type="dxa"/>
              <w:bottom w:w="80" w:type="dxa"/>
              <w:left w:w="120" w:type="dxa"/>
              <w:right w:w="120" w:type="dxa"/>
            </w:tcMar>
          </w:tcPr>
          <w:p>
            <w:pPr>
              <w:jc w:val="left"/>
            </w:pPr>
            <w:r>
              <w:rPr>
                <w:rFonts w:ascii="Times New Roman" w:hAnsi="Times New Roman"/>
                <w:sz w:val="20"/>
              </w:rPr>
              <w:t>Tentative Work Plan (Mapped to 10-Week Timeline)</w:t>
            </w:r>
          </w:p>
        </w:tc>
        <w:tc>
          <w:tcPr>
            <w:tcW w:type="dxa" w:w="2160"/>
            <w:shd w:fill="F2F4F7"/>
            <w:tcMar>
              <w:top w:w="80" w:type="dxa"/>
              <w:bottom w:w="80" w:type="dxa"/>
              <w:left w:w="120" w:type="dxa"/>
              <w:right w:w="120" w:type="dxa"/>
            </w:tcMar>
          </w:tcPr>
          <w:p>
            <w:pPr>
              <w:jc w:val="center"/>
            </w:pPr>
            <w:r>
              <w:rPr>
                <w:rFonts w:ascii="Times New Roman" w:hAnsi="Times New Roman"/>
                <w:sz w:val="20"/>
              </w:rPr>
              <w:t>6</w:t>
            </w:r>
          </w:p>
        </w:tc>
      </w:tr>
      <w:tr>
        <w:tc>
          <w:tcPr>
            <w:tcW w:type="dxa" w:w="1440"/>
            <w:tcMar>
              <w:top w:w="80" w:type="dxa"/>
              <w:bottom w:w="80" w:type="dxa"/>
              <w:left w:w="120" w:type="dxa"/>
              <w:right w:w="120" w:type="dxa"/>
            </w:tcMar>
          </w:tcPr>
          <w:p>
            <w:pPr>
              <w:jc w:val="center"/>
            </w:pPr>
            <w:r>
              <w:rPr>
                <w:rFonts w:ascii="Times New Roman" w:hAnsi="Times New Roman"/>
                <w:sz w:val="20"/>
              </w:rPr>
              <w:t>06</w:t>
            </w:r>
          </w:p>
        </w:tc>
        <w:tc>
          <w:tcPr>
            <w:tcW w:type="dxa" w:w="6480"/>
            <w:tcMar>
              <w:top w:w="80" w:type="dxa"/>
              <w:bottom w:w="80" w:type="dxa"/>
              <w:left w:w="120" w:type="dxa"/>
              <w:right w:w="120" w:type="dxa"/>
            </w:tcMar>
          </w:tcPr>
          <w:p>
            <w:pPr>
              <w:jc w:val="left"/>
            </w:pPr>
            <w:r>
              <w:rPr>
                <w:rFonts w:ascii="Times New Roman" w:hAnsi="Times New Roman"/>
                <w:sz w:val="20"/>
              </w:rPr>
              <w:t>Software / Hardware Required for Project Development</w:t>
            </w:r>
          </w:p>
        </w:tc>
        <w:tc>
          <w:tcPr>
            <w:tcW w:type="dxa" w:w="2160"/>
            <w:tcMar>
              <w:top w:w="80" w:type="dxa"/>
              <w:bottom w:w="80" w:type="dxa"/>
              <w:left w:w="120" w:type="dxa"/>
              <w:right w:w="120" w:type="dxa"/>
            </w:tcMar>
          </w:tcPr>
          <w:p>
            <w:pPr>
              <w:jc w:val="center"/>
            </w:pPr>
            <w:r>
              <w:rPr>
                <w:rFonts w:ascii="Times New Roman" w:hAnsi="Times New Roman"/>
                <w:sz w:val="20"/>
              </w:rPr>
              <w:t>7</w:t>
            </w:r>
          </w:p>
        </w:tc>
      </w:tr>
      <w:tr>
        <w:tc>
          <w:tcPr>
            <w:tcW w:type="dxa" w:w="1440"/>
            <w:shd w:fill="F2F4F7"/>
            <w:tcMar>
              <w:top w:w="80" w:type="dxa"/>
              <w:bottom w:w="80" w:type="dxa"/>
              <w:left w:w="120" w:type="dxa"/>
              <w:right w:w="120" w:type="dxa"/>
            </w:tcMar>
          </w:tcPr>
          <w:p>
            <w:pPr>
              <w:jc w:val="center"/>
            </w:pPr>
            <w:r>
              <w:rPr>
                <w:rFonts w:ascii="Times New Roman" w:hAnsi="Times New Roman"/>
                <w:sz w:val="20"/>
              </w:rPr>
              <w:t>07</w:t>
            </w:r>
          </w:p>
        </w:tc>
        <w:tc>
          <w:tcPr>
            <w:tcW w:type="dxa" w:w="6480"/>
            <w:shd w:fill="F2F4F7"/>
            <w:tcMar>
              <w:top w:w="80" w:type="dxa"/>
              <w:bottom w:w="80" w:type="dxa"/>
              <w:left w:w="120" w:type="dxa"/>
              <w:right w:w="120" w:type="dxa"/>
            </w:tcMar>
          </w:tcPr>
          <w:p>
            <w:pPr>
              <w:jc w:val="left"/>
            </w:pPr>
            <w:r>
              <w:rPr>
                <w:rFonts w:ascii="Times New Roman" w:hAnsi="Times New Roman"/>
                <w:sz w:val="20"/>
              </w:rPr>
              <w:t>References (IEEE Standard Format)</w:t>
            </w:r>
          </w:p>
        </w:tc>
        <w:tc>
          <w:tcPr>
            <w:tcW w:type="dxa" w:w="2160"/>
            <w:shd w:fill="F2F4F7"/>
            <w:tcMar>
              <w:top w:w="80" w:type="dxa"/>
              <w:bottom w:w="80" w:type="dxa"/>
              <w:left w:w="120" w:type="dxa"/>
              <w:right w:w="120" w:type="dxa"/>
            </w:tcMar>
          </w:tcPr>
          <w:p>
            <w:pPr>
              <w:jc w:val="center"/>
            </w:pPr>
            <w:r>
              <w:rPr>
                <w:rFonts w:ascii="Times New Roman" w:hAnsi="Times New Roman"/>
                <w:sz w:val="20"/>
              </w:rPr>
              <w:t>8</w:t>
            </w:r>
          </w:p>
        </w:tc>
      </w:tr>
    </w:tbl>
    <w:p>
      <w:pPr>
        <w:spacing w:after="1000"/>
      </w:pPr>
    </w:p>
    <w:tbl>
      <w:tblPr>
        <w:tblW w:type="auto" w:w="0"/>
        <w:jc w:val="center"/>
        <w:tblLayout w:type="fixed"/>
        <w:tblLook w:firstColumn="1" w:firstRow="1" w:lastColumn="0" w:lastRow="0" w:noHBand="0" w:noVBand="1" w:val="04A0"/>
      </w:tblPr>
      <w:tblGrid>
        <w:gridCol w:w="4891"/>
        <w:gridCol w:w="4891"/>
      </w:tblGrid>
      <w:tr>
        <w:tc>
          <w:tcPr>
            <w:tcW w:type="dxa" w:w="5184"/>
          </w:tcPr>
          <w:p>
            <w:pPr>
              <w:jc w:val="left"/>
            </w:pPr>
            <w:r>
              <w:rPr>
                <w:b/>
              </w:rPr>
              <w:t>_________________________</w:t>
              <w:br/>
              <w:t>Student’s Signature</w:t>
            </w:r>
          </w:p>
        </w:tc>
        <w:tc>
          <w:tcPr>
            <w:tcW w:type="dxa" w:w="5184"/>
          </w:tcPr>
          <w:p>
            <w:pPr>
              <w:jc w:val="right"/>
            </w:pPr>
            <w:r>
              <w:rPr>
                <w:b/>
              </w:rPr>
              <w:t>_________________________</w:t>
              <w:br/>
              <w:t>Guide’s Signature</w:t>
            </w:r>
          </w:p>
        </w:tc>
      </w:tr>
    </w:tbl>
    <w:p>
      <w:r>
        <w:br w:type="page"/>
      </w:r>
    </w:p>
    <w:p>
      <w:pPr>
        <w:keepNext/>
        <w:spacing w:before="280" w:after="120" w:line="360" w:lineRule="auto"/>
      </w:pPr>
      <w:r>
        <w:rPr>
          <w:rFonts w:ascii="Times New Roman" w:hAnsi="Times New Roman"/>
          <w:b/>
          <w:color w:val="002060"/>
          <w:sz w:val="30"/>
        </w:rPr>
        <w:t>1. INTRODUCTION</w:t>
      </w:r>
    </w:p>
    <w:p>
      <w:pPr>
        <w:spacing w:before="0" w:after="120" w:line="360" w:lineRule="auto"/>
        <w:jc w:val="both"/>
      </w:pPr>
      <w:r>
        <w:t>Cardiovascular Diseases (CVDs) represent the foremost cause of mortality and physical morbidity worldwide. As documented by the World Health Organization (WHO), approximately 17.9 million individuals lose their lives to cardiovascular conditions every year, representing nearly 32% of all global deaths. Among these fatalities, over 85% are precipitated by acute myocardial infarction (heart attacks) and cerebrovascular strokes. In developing nations like India, demographic and epidemiological transitions, sedentary employment patterns, adverse dietary habits, smoking, and delayed clinical evaluations have substantially accelerated the incidence of cardiovascular pathologies among the working-age population.</w:t>
      </w:r>
    </w:p>
    <w:p>
      <w:pPr>
        <w:spacing w:before="0" w:after="120" w:line="360" w:lineRule="auto"/>
        <w:jc w:val="both"/>
      </w:pPr>
      <w:r>
        <w:t>Clinical diagnosis in traditional healthcare settings heavily depends upon specialized, multi-stage diagnostic investigations such as coronary angiography, 12-lead electrocardiography (ECG), stress echocardiography, and complex biomarker blood profiling. While these clinical diagnostic modalities provide authoritative evaluations, they present significant limitations: high operational costs, invasive intervention risks, prolonged diagnostic turnaround times, and severe shortage of trained cardiologists in rural and primary healthcare environments. To combat these challenges, deploying automated, intelligent, and non-invasive clinical decision-support systems powered by Machine Learning is imperative for rapid, early-stage cardiovascular risk stratification.</w:t>
      </w:r>
    </w:p>
    <w:p>
      <w:pPr>
        <w:keepNext/>
        <w:spacing w:before="200" w:after="80" w:line="360" w:lineRule="auto"/>
      </w:pPr>
      <w:r>
        <w:rPr>
          <w:rFonts w:ascii="Times New Roman" w:hAnsi="Times New Roman"/>
          <w:b/>
          <w:color w:val="1B365D"/>
          <w:sz w:val="26"/>
        </w:rPr>
        <w:t>1.1 Project Domain &amp; Applied Technologies</w:t>
      </w:r>
    </w:p>
    <w:p>
      <w:pPr>
        <w:spacing w:before="0" w:after="120" w:line="360" w:lineRule="auto"/>
        <w:jc w:val="both"/>
      </w:pPr>
      <w:r>
        <w:t xml:space="preserve">This project resides in the intersection of </w:t>
      </w:r>
      <w:r>
        <w:rPr>
          <w:b/>
        </w:rPr>
        <w:t>Applied Machine Learning, Predictive Data Analytics, and Healthcare Informatics</w:t>
      </w:r>
      <w:r>
        <w:t>. By utilizing structured multi-parametric patient records—encompassing demographic attributes (Age, Sex), hemodynamic indicators (Resting Blood Pressure, Maximum Heart Rate), metabolic factors (Serum Cholesterol, Fasting Blood Sugar), and cardiac stress markers (Chest Pain Type, Exercise-Induced Angina, ST-Segment Depression, ST Slope)—machine learning classification models can uncover complex multivariate patterns and generate real-time probabilistic risk assessments.</w:t>
      </w:r>
    </w:p>
    <w:p>
      <w:pPr>
        <w:keepNext/>
        <w:spacing w:before="200" w:after="80" w:line="360" w:lineRule="auto"/>
      </w:pPr>
      <w:r>
        <w:rPr>
          <w:rFonts w:ascii="Times New Roman" w:hAnsi="Times New Roman"/>
          <w:b/>
          <w:color w:val="1B365D"/>
          <w:sz w:val="26"/>
        </w:rPr>
        <w:t>1.2 Important Technical Terms &amp; Concepts</w:t>
      </w:r>
    </w:p>
    <w:p>
      <w:pPr>
        <w:spacing w:before="0" w:after="80" w:line="360" w:lineRule="auto"/>
        <w:jc w:val="both"/>
      </w:pPr>
      <w:r>
        <w:rPr>
          <w:b/>
          <w:color w:val="002060"/>
        </w:rPr>
        <w:t xml:space="preserve">• K-Nearest Neighbors (KNN): </w:t>
      </w:r>
      <w:r>
        <w:t>A robust, non-parametric, instance-based supervised classification algorithm that assigns risk labels to unseen patient records based on the plurality vote of the 'k' closest historical clinical instances measured across multidimensional Euclidean space.</w:t>
      </w:r>
    </w:p>
    <w:p>
      <w:pPr>
        <w:spacing w:before="0" w:after="80" w:line="360" w:lineRule="auto"/>
        <w:jc w:val="both"/>
      </w:pPr>
      <w:r>
        <w:rPr>
          <w:b/>
          <w:color w:val="002060"/>
        </w:rPr>
        <w:t xml:space="preserve">• Feature Scaling (StandardScaler): </w:t>
      </w:r>
      <w:r>
        <w:t>A critical statistical standardization technique that transforms continuous features (Cholesterol, Resting BP, Heart Rate) to exhibit zero mean and unit variance (Z-score normalization), preventing features with larger numerical magnitudes from distorting distance calculations.</w:t>
      </w:r>
    </w:p>
    <w:p>
      <w:pPr>
        <w:spacing w:before="0" w:after="80" w:line="360" w:lineRule="auto"/>
        <w:jc w:val="both"/>
      </w:pPr>
      <w:r>
        <w:rPr>
          <w:b/>
          <w:color w:val="002060"/>
        </w:rPr>
        <w:t xml:space="preserve">• One-Hot Encoding &amp; Schema Preservation: </w:t>
      </w:r>
      <w:r>
        <w:t>Systematic transformation of multi-class categorical medical variables (e.g., Chest Pain Types [ATA, NAP, TA, ASY], Resting ECG, ST Slope) into binary numerical vectors while strictly aligning input feature columns with training schema.</w:t>
      </w:r>
    </w:p>
    <w:p>
      <w:pPr>
        <w:spacing w:before="0" w:after="80" w:line="360" w:lineRule="auto"/>
        <w:jc w:val="both"/>
      </w:pPr>
      <w:r>
        <w:rPr>
          <w:b/>
          <w:color w:val="002060"/>
        </w:rPr>
        <w:t xml:space="preserve">• Joblib Artifact Serialization: </w:t>
      </w:r>
      <w:r>
        <w:t>High-performance object serialization used to store trained ML models, pre-fitted scaler parameters, and column schema matrices into binary files (.pkl) for zero-latency execution in production.</w:t>
      </w:r>
    </w:p>
    <w:p>
      <w:pPr>
        <w:spacing w:before="0" w:after="80" w:line="360" w:lineRule="auto"/>
        <w:jc w:val="both"/>
      </w:pPr>
      <w:r>
        <w:rPr>
          <w:b/>
          <w:color w:val="002060"/>
        </w:rPr>
        <w:t xml:space="preserve">• Streamlit Web Framework: </w:t>
      </w:r>
      <w:r>
        <w:t>A state-of-the-art Python framework leveraged to engineer a responsive, interactive, and clinician-friendly user interface for seamless parameter entry, real-time model inference, and clear visual risk alerts.</w:t>
      </w:r>
    </w:p>
    <w:p>
      <w:r>
        <w:br w:type="page"/>
      </w:r>
    </w:p>
    <w:p>
      <w:pPr>
        <w:keepNext/>
        <w:spacing w:before="280" w:after="120" w:line="360" w:lineRule="auto"/>
      </w:pPr>
      <w:r>
        <w:rPr>
          <w:rFonts w:ascii="Times New Roman" w:hAnsi="Times New Roman"/>
          <w:b/>
          <w:color w:val="002060"/>
          <w:sz w:val="30"/>
        </w:rPr>
        <w:t>2. STATEMENT OF PROBLEM AND OBJECTIVES</w:t>
      </w:r>
    </w:p>
    <w:p>
      <w:pPr>
        <w:keepNext/>
        <w:spacing w:before="200" w:after="80" w:line="360" w:lineRule="auto"/>
      </w:pPr>
      <w:r>
        <w:rPr>
          <w:rFonts w:ascii="Times New Roman" w:hAnsi="Times New Roman"/>
          <w:b/>
          <w:color w:val="1B365D"/>
          <w:sz w:val="26"/>
        </w:rPr>
        <w:t>2.1 Problem Statement</w:t>
      </w:r>
    </w:p>
    <w:p>
      <w:pPr>
        <w:spacing w:before="0" w:after="120" w:line="360" w:lineRule="auto"/>
        <w:jc w:val="both"/>
      </w:pPr>
      <w:r>
        <w:t>The accurate, early-stage detection of cardiovascular diseases poses a critical healthcare challenge. Traditional diagnostic protocols are predominantly reactive, cost-prohibitive, and dependent on extensive laboratory infrastructure. In high-density outpatient environments, physicians encounter heavy clinical workloads, where manual synthesis of multi-dimensional patient risk markers increases vulnerability to diagnostic fatigue and delayed interventions. Furthermore, remote and rural clinics lack specialist cardiologists and specialized equipment. Consequently, there is an urgent demand for a non-invasive, cost-effective, and automated machine learning-driven risk assessment system capable of delivering instantaneous and reliable heart disease evaluations.</w:t>
      </w:r>
    </w:p>
    <w:p>
      <w:pPr>
        <w:keepNext/>
        <w:spacing w:before="200" w:after="80" w:line="360" w:lineRule="auto"/>
      </w:pPr>
      <w:r>
        <w:rPr>
          <w:rFonts w:ascii="Times New Roman" w:hAnsi="Times New Roman"/>
          <w:b/>
          <w:color w:val="1B365D"/>
          <w:sz w:val="26"/>
        </w:rPr>
        <w:t>2.2 Limitations of Existing Diagnostic Approaches</w:t>
      </w:r>
    </w:p>
    <w:p>
      <w:pPr>
        <w:spacing w:before="0" w:after="80" w:line="360" w:lineRule="auto"/>
        <w:jc w:val="both"/>
      </w:pPr>
      <w:r>
        <w:rPr>
          <w:b/>
        </w:rPr>
        <w:t xml:space="preserve">• Invasive &amp; Costly Procedures: </w:t>
      </w:r>
      <w:r>
        <w:t>Angiography and CT scans are expensive, physically invasive, and unavailable in primary rural healthcare dispensaries.</w:t>
      </w:r>
    </w:p>
    <w:p>
      <w:pPr>
        <w:spacing w:before="0" w:after="80" w:line="360" w:lineRule="auto"/>
        <w:jc w:val="both"/>
      </w:pPr>
      <w:r>
        <w:rPr>
          <w:b/>
        </w:rPr>
        <w:t xml:space="preserve">• Diagnostic Latency: </w:t>
      </w:r>
      <w:r>
        <w:t>Substantial time delays between blood test sample collection, laboratory processing, and physician review can compromise acute patient care.</w:t>
      </w:r>
    </w:p>
    <w:p>
      <w:pPr>
        <w:spacing w:before="0" w:after="80" w:line="360" w:lineRule="auto"/>
        <w:jc w:val="both"/>
      </w:pPr>
      <w:r>
        <w:rPr>
          <w:b/>
        </w:rPr>
        <w:t xml:space="preserve">• Subjective Clinical Interpretation: </w:t>
      </w:r>
      <w:r>
        <w:t>Inter-observer variability in manual symptom grading and ECG interpretation can result in inconsistent initial risk stratification.</w:t>
      </w:r>
    </w:p>
    <w:p>
      <w:pPr>
        <w:spacing w:before="0" w:after="80" w:line="360" w:lineRule="auto"/>
        <w:jc w:val="both"/>
      </w:pPr>
      <w:r>
        <w:rPr>
          <w:b/>
        </w:rPr>
        <w:t xml:space="preserve">• Absence of Integrated Triage Tools: </w:t>
      </w:r>
      <w:r>
        <w:t>Existing clinical software solutions are complex, proprietary, and lack lightweight, accessible web interfaces for rapid preliminary screening.</w:t>
      </w:r>
    </w:p>
    <w:p>
      <w:pPr>
        <w:keepNext/>
        <w:spacing w:before="200" w:after="80" w:line="360" w:lineRule="auto"/>
      </w:pPr>
      <w:r>
        <w:rPr>
          <w:rFonts w:ascii="Times New Roman" w:hAnsi="Times New Roman"/>
          <w:b/>
          <w:color w:val="1B365D"/>
          <w:sz w:val="26"/>
        </w:rPr>
        <w:t>2.3 Project Objectives</w:t>
      </w:r>
    </w:p>
    <w:p>
      <w:pPr>
        <w:spacing w:before="0" w:after="120" w:line="360" w:lineRule="auto"/>
        <w:jc w:val="both"/>
      </w:pPr>
      <w:r>
        <w:t>The core objectives of the proposed Major Project are established as follows:</w:t>
      </w:r>
    </w:p>
    <w:p>
      <w:pPr>
        <w:spacing w:before="0" w:after="80" w:line="360" w:lineRule="auto"/>
        <w:jc w:val="both"/>
      </w:pPr>
      <w:r>
        <w:rPr>
          <w:b/>
          <w:color w:val="002060"/>
        </w:rPr>
        <w:t xml:space="preserve">Objective 1: </w:t>
      </w:r>
      <w:r>
        <w:t xml:space="preserve">Design and implement an automated Machine Learning classification pipeline </w:t>
      </w:r>
      <w:r>
        <w:t>specifically optimized for binary cardiovascular disease risk assessment (High Risk vs. Low Risk) based on standardized clinical indicators.</w:t>
      </w:r>
    </w:p>
    <w:p>
      <w:pPr>
        <w:spacing w:before="0" w:after="80" w:line="360" w:lineRule="auto"/>
        <w:jc w:val="both"/>
      </w:pPr>
      <w:r>
        <w:rPr>
          <w:b/>
          <w:color w:val="002060"/>
        </w:rPr>
        <w:t xml:space="preserve">Objective 2: </w:t>
      </w:r>
      <w:r>
        <w:t xml:space="preserve">Develop a rigorous data preprocessing and feature scaling module </w:t>
      </w:r>
      <w:r>
        <w:t>incorporating StandardScaler normalization and dynamic one-hot categorical alignment to eliminate scale bias and maintain schema integrity.</w:t>
      </w:r>
    </w:p>
    <w:p>
      <w:pPr>
        <w:spacing w:before="0" w:after="80" w:line="360" w:lineRule="auto"/>
        <w:jc w:val="both"/>
      </w:pPr>
      <w:r>
        <w:rPr>
          <w:b/>
          <w:color w:val="002060"/>
        </w:rPr>
        <w:t xml:space="preserve">Objective 3: </w:t>
      </w:r>
      <w:r>
        <w:t xml:space="preserve">Train, optimize, and benchmark the K-Nearest Neighbors (KNN) classifier </w:t>
      </w:r>
      <w:r>
        <w:t>on standard multi-hospital cardiac datasets to maximize prediction accuracy, sensitivity, and clinical reliability.</w:t>
      </w:r>
    </w:p>
    <w:p>
      <w:pPr>
        <w:spacing w:before="0" w:after="80" w:line="360" w:lineRule="auto"/>
        <w:jc w:val="both"/>
      </w:pPr>
      <w:r>
        <w:rPr>
          <w:b/>
          <w:color w:val="002060"/>
        </w:rPr>
        <w:t xml:space="preserve">Objective 4: </w:t>
      </w:r>
      <w:r>
        <w:t xml:space="preserve">Construct an interactive, web-based graphical user interface (GUI) using Streamlit </w:t>
      </w:r>
      <w:r>
        <w:t>enabling clinicians, paramedics, and users to input clinical parameters effortlessly and receive instant, color-coded visual risk alerts.</w:t>
      </w:r>
    </w:p>
    <w:p>
      <w:pPr>
        <w:spacing w:before="0" w:after="80" w:line="360" w:lineRule="auto"/>
        <w:jc w:val="both"/>
      </w:pPr>
      <w:r>
        <w:rPr>
          <w:b/>
          <w:color w:val="002060"/>
        </w:rPr>
        <w:t xml:space="preserve">Objective 5: </w:t>
      </w:r>
      <w:r>
        <w:t xml:space="preserve">Package and serialize pre-trained model artifacts (Joblib / PKL) </w:t>
      </w:r>
      <w:r>
        <w:t>to guarantee lightweight, portable, and low-latency deployment suitable for local clinic workstations and cloud deployment.</w:t>
      </w:r>
    </w:p>
    <w:p>
      <w:r>
        <w:br w:type="page"/>
      </w:r>
    </w:p>
    <w:p>
      <w:pPr>
        <w:keepNext/>
        <w:spacing w:before="280" w:after="120" w:line="360" w:lineRule="auto"/>
      </w:pPr>
      <w:r>
        <w:rPr>
          <w:rFonts w:ascii="Times New Roman" w:hAnsi="Times New Roman"/>
          <w:b/>
          <w:color w:val="002060"/>
          <w:sz w:val="30"/>
        </w:rPr>
        <w:t>3. LITERATURE SURVEY</w:t>
      </w:r>
    </w:p>
    <w:p>
      <w:pPr>
        <w:spacing w:before="0" w:after="120" w:line="360" w:lineRule="auto"/>
        <w:jc w:val="both"/>
      </w:pPr>
      <w:r>
        <w:t>Extensive academic literature has explored the integration of computational intelligence and supervised machine learning algorithms in cardiovascular diagnostics. A critical review of prominent publications is summarized below:</w:t>
      </w:r>
    </w:p>
    <w:tbl>
      <w:tblPr>
        <w:tblW w:type="auto" w:w="0"/>
        <w:jc w:val="center"/>
        <w:tblLayout w:type="fixed"/>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1957"/>
        <w:gridCol w:w="1957"/>
        <w:gridCol w:w="1957"/>
        <w:gridCol w:w="1957"/>
        <w:gridCol w:w="1957"/>
      </w:tblGrid>
      <w:tr>
        <w:tc>
          <w:tcPr>
            <w:tcW w:type="dxa" w:w="864"/>
            <w:shd w:fill="002060"/>
            <w:tcMar>
              <w:top w:w="100" w:type="dxa"/>
              <w:bottom w:w="100" w:type="dxa"/>
              <w:left w:w="100" w:type="dxa"/>
              <w:right w:w="100" w:type="dxa"/>
            </w:tcMar>
          </w:tcPr>
          <w:p>
            <w:pPr>
              <w:jc w:val="center"/>
            </w:pPr>
            <w:r>
              <w:rPr>
                <w:rFonts w:ascii="Times New Roman" w:hAnsi="Times New Roman"/>
                <w:b/>
                <w:color w:val="FFFFFF"/>
                <w:sz w:val="19"/>
              </w:rPr>
              <w:t>S.No</w:t>
            </w:r>
          </w:p>
        </w:tc>
        <w:tc>
          <w:tcPr>
            <w:tcW w:type="dxa" w:w="2592"/>
            <w:shd w:fill="002060"/>
            <w:tcMar>
              <w:top w:w="100" w:type="dxa"/>
              <w:bottom w:w="100" w:type="dxa"/>
              <w:left w:w="100" w:type="dxa"/>
              <w:right w:w="100" w:type="dxa"/>
            </w:tcMar>
          </w:tcPr>
          <w:p>
            <w:pPr>
              <w:jc w:val="center"/>
            </w:pPr>
            <w:r>
              <w:rPr>
                <w:rFonts w:ascii="Times New Roman" w:hAnsi="Times New Roman"/>
                <w:b/>
                <w:color w:val="FFFFFF"/>
                <w:sz w:val="19"/>
              </w:rPr>
              <w:t>Paper Title</w:t>
            </w:r>
          </w:p>
        </w:tc>
        <w:tc>
          <w:tcPr>
            <w:tcW w:type="dxa" w:w="2016"/>
            <w:shd w:fill="002060"/>
            <w:tcMar>
              <w:top w:w="100" w:type="dxa"/>
              <w:bottom w:w="100" w:type="dxa"/>
              <w:left w:w="100" w:type="dxa"/>
              <w:right w:w="100" w:type="dxa"/>
            </w:tcMar>
          </w:tcPr>
          <w:p>
            <w:pPr>
              <w:jc w:val="center"/>
            </w:pPr>
            <w:r>
              <w:rPr>
                <w:rFonts w:ascii="Times New Roman" w:hAnsi="Times New Roman"/>
                <w:b/>
                <w:color w:val="FFFFFF"/>
                <w:sz w:val="19"/>
              </w:rPr>
              <w:t>Author(s)</w:t>
            </w:r>
          </w:p>
        </w:tc>
        <w:tc>
          <w:tcPr>
            <w:tcW w:type="dxa" w:w="1728"/>
            <w:shd w:fill="002060"/>
            <w:tcMar>
              <w:top w:w="100" w:type="dxa"/>
              <w:bottom w:w="100" w:type="dxa"/>
              <w:left w:w="100" w:type="dxa"/>
              <w:right w:w="100" w:type="dxa"/>
            </w:tcMar>
          </w:tcPr>
          <w:p>
            <w:pPr>
              <w:jc w:val="center"/>
            </w:pPr>
            <w:r>
              <w:rPr>
                <w:rFonts w:ascii="Times New Roman" w:hAnsi="Times New Roman"/>
                <w:b/>
                <w:color w:val="FFFFFF"/>
                <w:sz w:val="19"/>
              </w:rPr>
              <w:t>Journal / Year</w:t>
            </w:r>
          </w:p>
        </w:tc>
        <w:tc>
          <w:tcPr>
            <w:tcW w:type="dxa" w:w="3168"/>
            <w:shd w:fill="002060"/>
            <w:tcMar>
              <w:top w:w="100" w:type="dxa"/>
              <w:bottom w:w="100" w:type="dxa"/>
              <w:left w:w="100" w:type="dxa"/>
              <w:right w:w="100" w:type="dxa"/>
            </w:tcMar>
          </w:tcPr>
          <w:p>
            <w:pPr>
              <w:jc w:val="center"/>
            </w:pPr>
            <w:r>
              <w:rPr>
                <w:rFonts w:ascii="Times New Roman" w:hAnsi="Times New Roman"/>
                <w:b/>
                <w:color w:val="FFFFFF"/>
                <w:sz w:val="19"/>
              </w:rPr>
              <w:t>Key Findings &amp; Limitations</w:t>
            </w:r>
          </w:p>
        </w:tc>
      </w:tr>
      <w:tr>
        <w:tc>
          <w:tcPr>
            <w:tcW w:type="dxa" w:w="864"/>
            <w:shd w:fill="F9FAFC"/>
            <w:tcMar>
              <w:top w:w="80" w:type="dxa"/>
              <w:bottom w:w="80" w:type="dxa"/>
              <w:left w:w="100" w:type="dxa"/>
              <w:right w:w="100" w:type="dxa"/>
            </w:tcMar>
          </w:tcPr>
          <w:p>
            <w:pPr>
              <w:jc w:val="center"/>
            </w:pPr>
            <w:r>
              <w:rPr>
                <w:rFonts w:ascii="Times New Roman" w:hAnsi="Times New Roman"/>
                <w:sz w:val="18"/>
              </w:rPr>
              <w:t>1</w:t>
            </w:r>
          </w:p>
        </w:tc>
        <w:tc>
          <w:tcPr>
            <w:tcW w:type="dxa" w:w="2592"/>
            <w:shd w:fill="F9FAFC"/>
            <w:tcMar>
              <w:top w:w="80" w:type="dxa"/>
              <w:bottom w:w="80" w:type="dxa"/>
              <w:left w:w="100" w:type="dxa"/>
              <w:right w:w="100" w:type="dxa"/>
            </w:tcMar>
          </w:tcPr>
          <w:p>
            <w:pPr>
              <w:jc w:val="left"/>
            </w:pPr>
            <w:r>
              <w:rPr>
                <w:rFonts w:ascii="Times New Roman" w:hAnsi="Times New Roman"/>
                <w:sz w:val="18"/>
              </w:rPr>
              <w:t>Heart Disease Prediction Using Machine Learning Algorithms</w:t>
            </w:r>
          </w:p>
        </w:tc>
        <w:tc>
          <w:tcPr>
            <w:tcW w:type="dxa" w:w="2016"/>
            <w:shd w:fill="F9FAFC"/>
            <w:tcMar>
              <w:top w:w="80" w:type="dxa"/>
              <w:bottom w:w="80" w:type="dxa"/>
              <w:left w:w="100" w:type="dxa"/>
              <w:right w:w="100" w:type="dxa"/>
            </w:tcMar>
          </w:tcPr>
          <w:p>
            <w:pPr>
              <w:jc w:val="left"/>
            </w:pPr>
            <w:r>
              <w:rPr>
                <w:rFonts w:ascii="Times New Roman" w:hAnsi="Times New Roman"/>
                <w:sz w:val="18"/>
              </w:rPr>
              <w:t>R. Sharma &amp; S. Bandil</w:t>
            </w:r>
          </w:p>
        </w:tc>
        <w:tc>
          <w:tcPr>
            <w:tcW w:type="dxa" w:w="1728"/>
            <w:shd w:fill="F9FAFC"/>
            <w:tcMar>
              <w:top w:w="80" w:type="dxa"/>
              <w:bottom w:w="80" w:type="dxa"/>
              <w:left w:w="100" w:type="dxa"/>
              <w:right w:w="100" w:type="dxa"/>
            </w:tcMar>
          </w:tcPr>
          <w:p>
            <w:pPr>
              <w:jc w:val="center"/>
            </w:pPr>
            <w:r>
              <w:rPr>
                <w:rFonts w:ascii="Times New Roman" w:hAnsi="Times New Roman"/>
                <w:sz w:val="18"/>
              </w:rPr>
              <w:t>IEEE Xplore (2022)</w:t>
            </w:r>
          </w:p>
        </w:tc>
        <w:tc>
          <w:tcPr>
            <w:tcW w:type="dxa" w:w="3168"/>
            <w:shd w:fill="F9FAFC"/>
            <w:tcMar>
              <w:top w:w="80" w:type="dxa"/>
              <w:bottom w:w="80" w:type="dxa"/>
              <w:left w:w="100" w:type="dxa"/>
              <w:right w:w="100" w:type="dxa"/>
            </w:tcMar>
          </w:tcPr>
          <w:p>
            <w:pPr>
              <w:jc w:val="left"/>
            </w:pPr>
            <w:r>
              <w:rPr>
                <w:rFonts w:ascii="Times New Roman" w:hAnsi="Times New Roman"/>
                <w:sz w:val="18"/>
              </w:rPr>
              <w:t>Evaluated KNN, Naive Bayes, and SVM on UCI dataset. KNN achieved 86.8% accuracy; noted high dependency on proper feature scaling.</w:t>
            </w:r>
          </w:p>
        </w:tc>
      </w:tr>
      <w:tr>
        <w:tc>
          <w:tcPr>
            <w:tcW w:type="dxa" w:w="864"/>
            <w:tcMar>
              <w:top w:w="80" w:type="dxa"/>
              <w:bottom w:w="80" w:type="dxa"/>
              <w:left w:w="100" w:type="dxa"/>
              <w:right w:w="100" w:type="dxa"/>
            </w:tcMar>
          </w:tcPr>
          <w:p>
            <w:pPr>
              <w:jc w:val="center"/>
            </w:pPr>
            <w:r>
              <w:rPr>
                <w:rFonts w:ascii="Times New Roman" w:hAnsi="Times New Roman"/>
                <w:sz w:val="18"/>
              </w:rPr>
              <w:t>2</w:t>
            </w:r>
          </w:p>
        </w:tc>
        <w:tc>
          <w:tcPr>
            <w:tcW w:type="dxa" w:w="2592"/>
            <w:tcMar>
              <w:top w:w="80" w:type="dxa"/>
              <w:bottom w:w="80" w:type="dxa"/>
              <w:left w:w="100" w:type="dxa"/>
              <w:right w:w="100" w:type="dxa"/>
            </w:tcMar>
          </w:tcPr>
          <w:p>
            <w:pPr>
              <w:jc w:val="left"/>
            </w:pPr>
            <w:r>
              <w:rPr>
                <w:rFonts w:ascii="Times New Roman" w:hAnsi="Times New Roman"/>
                <w:sz w:val="18"/>
              </w:rPr>
              <w:t>Predictive Analytics for Cardiovascular Disease Risk</w:t>
            </w:r>
          </w:p>
        </w:tc>
        <w:tc>
          <w:tcPr>
            <w:tcW w:type="dxa" w:w="2016"/>
            <w:tcMar>
              <w:top w:w="80" w:type="dxa"/>
              <w:bottom w:w="80" w:type="dxa"/>
              <w:left w:w="100" w:type="dxa"/>
              <w:right w:w="100" w:type="dxa"/>
            </w:tcMar>
          </w:tcPr>
          <w:p>
            <w:pPr>
              <w:jc w:val="left"/>
            </w:pPr>
            <w:r>
              <w:rPr>
                <w:rFonts w:ascii="Times New Roman" w:hAnsi="Times New Roman"/>
                <w:sz w:val="18"/>
              </w:rPr>
              <w:t>A. Mohan et al.</w:t>
            </w:r>
          </w:p>
        </w:tc>
        <w:tc>
          <w:tcPr>
            <w:tcW w:type="dxa" w:w="1728"/>
            <w:tcMar>
              <w:top w:w="80" w:type="dxa"/>
              <w:bottom w:w="80" w:type="dxa"/>
              <w:left w:w="100" w:type="dxa"/>
              <w:right w:w="100" w:type="dxa"/>
            </w:tcMar>
          </w:tcPr>
          <w:p>
            <w:pPr>
              <w:jc w:val="center"/>
            </w:pPr>
            <w:r>
              <w:rPr>
                <w:rFonts w:ascii="Times New Roman" w:hAnsi="Times New Roman"/>
                <w:sz w:val="18"/>
              </w:rPr>
              <w:t>IEEE Access (2021)</w:t>
            </w:r>
          </w:p>
        </w:tc>
        <w:tc>
          <w:tcPr>
            <w:tcW w:type="dxa" w:w="3168"/>
            <w:tcMar>
              <w:top w:w="80" w:type="dxa"/>
              <w:bottom w:w="80" w:type="dxa"/>
              <w:left w:w="100" w:type="dxa"/>
              <w:right w:w="100" w:type="dxa"/>
            </w:tcMar>
          </w:tcPr>
          <w:p>
            <w:pPr>
              <w:jc w:val="left"/>
            </w:pPr>
            <w:r>
              <w:rPr>
                <w:rFonts w:ascii="Times New Roman" w:hAnsi="Times New Roman"/>
                <w:sz w:val="18"/>
              </w:rPr>
              <w:t>Explored hybrid ML architectures; demonstrated that ST-slope, chest pain type, and max heart rate are the highest-gain predictors.</w:t>
            </w:r>
          </w:p>
        </w:tc>
      </w:tr>
      <w:tr>
        <w:tc>
          <w:tcPr>
            <w:tcW w:type="dxa" w:w="864"/>
            <w:shd w:fill="F9FAFC"/>
            <w:tcMar>
              <w:top w:w="80" w:type="dxa"/>
              <w:bottom w:w="80" w:type="dxa"/>
              <w:left w:w="100" w:type="dxa"/>
              <w:right w:w="100" w:type="dxa"/>
            </w:tcMar>
          </w:tcPr>
          <w:p>
            <w:pPr>
              <w:jc w:val="center"/>
            </w:pPr>
            <w:r>
              <w:rPr>
                <w:rFonts w:ascii="Times New Roman" w:hAnsi="Times New Roman"/>
                <w:sz w:val="18"/>
              </w:rPr>
              <w:t>3</w:t>
            </w:r>
          </w:p>
        </w:tc>
        <w:tc>
          <w:tcPr>
            <w:tcW w:type="dxa" w:w="2592"/>
            <w:shd w:fill="F9FAFC"/>
            <w:tcMar>
              <w:top w:w="80" w:type="dxa"/>
              <w:bottom w:w="80" w:type="dxa"/>
              <w:left w:w="100" w:type="dxa"/>
              <w:right w:w="100" w:type="dxa"/>
            </w:tcMar>
          </w:tcPr>
          <w:p>
            <w:pPr>
              <w:jc w:val="left"/>
            </w:pPr>
            <w:r>
              <w:rPr>
                <w:rFonts w:ascii="Times New Roman" w:hAnsi="Times New Roman"/>
                <w:sz w:val="18"/>
              </w:rPr>
              <w:t>Comparative Study of ML Classifiers in Heart Disease</w:t>
            </w:r>
          </w:p>
        </w:tc>
        <w:tc>
          <w:tcPr>
            <w:tcW w:type="dxa" w:w="2016"/>
            <w:shd w:fill="F9FAFC"/>
            <w:tcMar>
              <w:top w:w="80" w:type="dxa"/>
              <w:bottom w:w="80" w:type="dxa"/>
              <w:left w:w="100" w:type="dxa"/>
              <w:right w:w="100" w:type="dxa"/>
            </w:tcMar>
          </w:tcPr>
          <w:p>
            <w:pPr>
              <w:jc w:val="left"/>
            </w:pPr>
            <w:r>
              <w:rPr>
                <w:rFonts w:ascii="Times New Roman" w:hAnsi="Times New Roman"/>
                <w:sz w:val="18"/>
              </w:rPr>
              <w:t>P. Ghosh &amp; D. Azam</w:t>
            </w:r>
          </w:p>
        </w:tc>
        <w:tc>
          <w:tcPr>
            <w:tcW w:type="dxa" w:w="1728"/>
            <w:shd w:fill="F9FAFC"/>
            <w:tcMar>
              <w:top w:w="80" w:type="dxa"/>
              <w:bottom w:w="80" w:type="dxa"/>
              <w:left w:w="100" w:type="dxa"/>
              <w:right w:w="100" w:type="dxa"/>
            </w:tcMar>
          </w:tcPr>
          <w:p>
            <w:pPr>
              <w:jc w:val="center"/>
            </w:pPr>
            <w:r>
              <w:rPr>
                <w:rFonts w:ascii="Times New Roman" w:hAnsi="Times New Roman"/>
                <w:sz w:val="18"/>
              </w:rPr>
              <w:t>Elsevier BHI (2023)</w:t>
            </w:r>
          </w:p>
        </w:tc>
        <w:tc>
          <w:tcPr>
            <w:tcW w:type="dxa" w:w="3168"/>
            <w:shd w:fill="F9FAFC"/>
            <w:tcMar>
              <w:top w:w="80" w:type="dxa"/>
              <w:bottom w:w="80" w:type="dxa"/>
              <w:left w:w="100" w:type="dxa"/>
              <w:right w:w="100" w:type="dxa"/>
            </w:tcMar>
          </w:tcPr>
          <w:p>
            <w:pPr>
              <w:jc w:val="left"/>
            </w:pPr>
            <w:r>
              <w:rPr>
                <w:rFonts w:ascii="Times New Roman" w:hAnsi="Times New Roman"/>
                <w:sz w:val="18"/>
              </w:rPr>
              <w:t>Benchmarked distance-based classifiers; demonstrated that StandardScaler normalization significantly reduces false-negative diagnostic rates.</w:t>
            </w:r>
          </w:p>
        </w:tc>
      </w:tr>
      <w:tr>
        <w:tc>
          <w:tcPr>
            <w:tcW w:type="dxa" w:w="864"/>
            <w:tcMar>
              <w:top w:w="80" w:type="dxa"/>
              <w:bottom w:w="80" w:type="dxa"/>
              <w:left w:w="100" w:type="dxa"/>
              <w:right w:w="100" w:type="dxa"/>
            </w:tcMar>
          </w:tcPr>
          <w:p>
            <w:pPr>
              <w:jc w:val="center"/>
            </w:pPr>
            <w:r>
              <w:rPr>
                <w:rFonts w:ascii="Times New Roman" w:hAnsi="Times New Roman"/>
                <w:sz w:val="18"/>
              </w:rPr>
              <w:t>4</w:t>
            </w:r>
          </w:p>
        </w:tc>
        <w:tc>
          <w:tcPr>
            <w:tcW w:type="dxa" w:w="2592"/>
            <w:tcMar>
              <w:top w:w="80" w:type="dxa"/>
              <w:bottom w:w="80" w:type="dxa"/>
              <w:left w:w="100" w:type="dxa"/>
              <w:right w:w="100" w:type="dxa"/>
            </w:tcMar>
          </w:tcPr>
          <w:p>
            <w:pPr>
              <w:jc w:val="left"/>
            </w:pPr>
            <w:r>
              <w:rPr>
                <w:rFonts w:ascii="Times New Roman" w:hAnsi="Times New Roman"/>
                <w:sz w:val="18"/>
              </w:rPr>
              <w:t>Intelligent Decision Support System for Heart Disease</w:t>
            </w:r>
          </w:p>
        </w:tc>
        <w:tc>
          <w:tcPr>
            <w:tcW w:type="dxa" w:w="2016"/>
            <w:tcMar>
              <w:top w:w="80" w:type="dxa"/>
              <w:bottom w:w="80" w:type="dxa"/>
              <w:left w:w="100" w:type="dxa"/>
              <w:right w:w="100" w:type="dxa"/>
            </w:tcMar>
          </w:tcPr>
          <w:p>
            <w:pPr>
              <w:jc w:val="left"/>
            </w:pPr>
            <w:r>
              <w:rPr>
                <w:rFonts w:ascii="Times New Roman" w:hAnsi="Times New Roman"/>
                <w:sz w:val="18"/>
              </w:rPr>
              <w:t>K. Polaraju &amp; D. Durga</w:t>
            </w:r>
          </w:p>
        </w:tc>
        <w:tc>
          <w:tcPr>
            <w:tcW w:type="dxa" w:w="1728"/>
            <w:tcMar>
              <w:top w:w="80" w:type="dxa"/>
              <w:bottom w:w="80" w:type="dxa"/>
              <w:left w:w="100" w:type="dxa"/>
              <w:right w:w="100" w:type="dxa"/>
            </w:tcMar>
          </w:tcPr>
          <w:p>
            <w:pPr>
              <w:jc w:val="center"/>
            </w:pPr>
            <w:r>
              <w:rPr>
                <w:rFonts w:ascii="Times New Roman" w:hAnsi="Times New Roman"/>
                <w:sz w:val="18"/>
              </w:rPr>
              <w:t>Springer SN CS (2020)</w:t>
            </w:r>
          </w:p>
        </w:tc>
        <w:tc>
          <w:tcPr>
            <w:tcW w:type="dxa" w:w="3168"/>
            <w:tcMar>
              <w:top w:w="80" w:type="dxa"/>
              <w:bottom w:w="80" w:type="dxa"/>
              <w:left w:w="100" w:type="dxa"/>
              <w:right w:w="100" w:type="dxa"/>
            </w:tcMar>
          </w:tcPr>
          <w:p>
            <w:pPr>
              <w:jc w:val="left"/>
            </w:pPr>
            <w:r>
              <w:rPr>
                <w:rFonts w:ascii="Times New Roman" w:hAnsi="Times New Roman"/>
                <w:sz w:val="18"/>
              </w:rPr>
              <w:t>Developed an automated risk prediction system; advocated for lightweight serialization and standalone web GUI for practical clinic deployment.</w:t>
            </w:r>
          </w:p>
        </w:tc>
      </w:tr>
    </w:tbl>
    <w:p>
      <w:pPr>
        <w:keepNext/>
        <w:spacing w:before="200" w:after="80" w:line="360" w:lineRule="auto"/>
      </w:pPr>
      <w:r>
        <w:rPr>
          <w:rFonts w:ascii="Times New Roman" w:hAnsi="Times New Roman"/>
          <w:b/>
          <w:color w:val="1B365D"/>
          <w:sz w:val="26"/>
        </w:rPr>
        <w:t>3.1 Research Gap &amp; Proposed Innovation</w:t>
      </w:r>
    </w:p>
    <w:p>
      <w:pPr>
        <w:spacing w:before="0" w:after="120" w:line="360" w:lineRule="auto"/>
        <w:jc w:val="both"/>
      </w:pPr>
      <w:r>
        <w:t>Although existing academic studies confirm the theoretical efficacy of classification algorithms, existing systems often neglect real-world deployment challenges: rigid input schema enforcement, graceful handling of unobserved categorical combinations during live inference, and streamlined, low-latency web interfaces. The proposed system directly resolves these deficiencies by uniting an optimized K-Nearest Neighbors classifier with an automated one-hot schema reconstructor and a lightweight Streamlit web application.</w:t>
      </w:r>
    </w:p>
    <w:p>
      <w:r>
        <w:br w:type="page"/>
      </w:r>
    </w:p>
    <w:p>
      <w:pPr>
        <w:keepNext/>
        <w:spacing w:before="280" w:after="120" w:line="360" w:lineRule="auto"/>
      </w:pPr>
      <w:r>
        <w:rPr>
          <w:rFonts w:ascii="Times New Roman" w:hAnsi="Times New Roman"/>
          <w:b/>
          <w:color w:val="002060"/>
          <w:sz w:val="30"/>
        </w:rPr>
        <w:t>4. EXPECTED OUTCOME AND SCOPE OF THE PROJECT</w:t>
      </w:r>
    </w:p>
    <w:p>
      <w:pPr>
        <w:keepNext/>
        <w:spacing w:before="200" w:after="80" w:line="360" w:lineRule="auto"/>
      </w:pPr>
      <w:r>
        <w:rPr>
          <w:rFonts w:ascii="Times New Roman" w:hAnsi="Times New Roman"/>
          <w:b/>
          <w:color w:val="1B365D"/>
          <w:sz w:val="26"/>
        </w:rPr>
        <w:t>4.1 Expected Outcomes</w:t>
      </w:r>
    </w:p>
    <w:p>
      <w:pPr>
        <w:spacing w:before="0" w:after="80" w:line="360" w:lineRule="auto"/>
        <w:jc w:val="both"/>
      </w:pPr>
      <w:r>
        <w:rPr>
          <w:b/>
          <w:color w:val="006020"/>
        </w:rPr>
        <w:t xml:space="preserve">✓ High-Precision Risk Stratification: </w:t>
      </w:r>
      <w:r>
        <w:t>A fully validated K-Nearest Neighbors ML model delivering robust classification accuracy (&gt;86%) in categorizing patient cardiovascular risk.</w:t>
      </w:r>
    </w:p>
    <w:p>
      <w:pPr>
        <w:spacing w:before="0" w:after="80" w:line="360" w:lineRule="auto"/>
        <w:jc w:val="both"/>
      </w:pPr>
      <w:r>
        <w:rPr>
          <w:b/>
          <w:color w:val="006020"/>
        </w:rPr>
        <w:t xml:space="preserve">✓ Interactive Web Application: </w:t>
      </w:r>
      <w:r>
        <w:t>A clean, responsive Streamlit dashboard featuring intuitive sliders, numeric inputs, and selection menus for frictionless patient data input.</w:t>
      </w:r>
    </w:p>
    <w:p>
      <w:pPr>
        <w:spacing w:before="0" w:after="80" w:line="360" w:lineRule="auto"/>
        <w:jc w:val="both"/>
      </w:pPr>
      <w:r>
        <w:rPr>
          <w:b/>
          <w:color w:val="006020"/>
        </w:rPr>
        <w:t xml:space="preserve">✓ Zero-Latency Real-Time Inference: </w:t>
      </w:r>
      <w:r>
        <w:t>Instantaneous risk evaluation (High Risk / Low Risk) powered by serialized (.pkl) pipeline artifacts with zero re-training latency.</w:t>
      </w:r>
    </w:p>
    <w:p>
      <w:pPr>
        <w:spacing w:before="0" w:after="80" w:line="360" w:lineRule="auto"/>
        <w:jc w:val="both"/>
      </w:pPr>
      <w:r>
        <w:rPr>
          <w:b/>
          <w:color w:val="006020"/>
        </w:rPr>
        <w:t xml:space="preserve">✓ Clinical Decision-Support UI: </w:t>
      </w:r>
      <w:r>
        <w:t>Clear visual feedback with contextual warnings (Red for High Risk, Green for Low Risk) to assist preliminary triage.</w:t>
      </w:r>
    </w:p>
    <w:p>
      <w:pPr>
        <w:keepNext/>
        <w:spacing w:before="200" w:after="80" w:line="360" w:lineRule="auto"/>
      </w:pPr>
      <w:r>
        <w:rPr>
          <w:rFonts w:ascii="Times New Roman" w:hAnsi="Times New Roman"/>
          <w:b/>
          <w:color w:val="1B365D"/>
          <w:sz w:val="26"/>
        </w:rPr>
        <w:t>4.2 Key Features &amp; Clinical Parameters Ingested</w:t>
      </w:r>
    </w:p>
    <w:p>
      <w:pPr>
        <w:spacing w:before="0" w:after="120" w:line="360" w:lineRule="auto"/>
        <w:jc w:val="both"/>
      </w:pPr>
      <w:r>
        <w:t>The application evaluates 11 critical clinical indicators: Age (years), Sex (M/F), Chest Pain Type (ATA: Atypical Angina, NAP: Non-Anginal Pain, TA: Typical Angina, ASY: Asymptomatic), Resting Blood Pressure (mm Hg), Serum Cholesterol (mg/dL), Fasting Blood Sugar (&gt;120 mg/dL), Resting ECG (Normal, ST, LVH), Maximum Heart Rate (bpm), Exercise-Induced Angina (Y/N), Oldpeak (ST depression in mm), and ST Slope (Up, Flat, Down).</w:t>
      </w:r>
    </w:p>
    <w:p>
      <w:pPr>
        <w:keepNext/>
        <w:spacing w:before="200" w:after="80" w:line="360" w:lineRule="auto"/>
      </w:pPr>
      <w:r>
        <w:rPr>
          <w:rFonts w:ascii="Times New Roman" w:hAnsi="Times New Roman"/>
          <w:b/>
          <w:color w:val="1B365D"/>
          <w:sz w:val="26"/>
        </w:rPr>
        <w:t>4.3 Intended Beneficiaries</w:t>
      </w:r>
    </w:p>
    <w:p>
      <w:pPr>
        <w:spacing w:before="0" w:after="120" w:line="360" w:lineRule="auto"/>
        <w:jc w:val="both"/>
      </w:pPr>
      <w:r>
        <w:t xml:space="preserve">• </w:t>
      </w:r>
      <w:r>
        <w:rPr>
          <w:b/>
        </w:rPr>
        <w:t xml:space="preserve">Primary Healthcare Centers &amp; Rural Dispensaries: </w:t>
      </w:r>
      <w:r>
        <w:t>Empowers healthcare staff to perform initial risk stratification before referring patients to tertiary cardiologists.</w:t>
        <w:br/>
        <w:t xml:space="preserve">• </w:t>
      </w:r>
      <w:r>
        <w:rPr>
          <w:b/>
        </w:rPr>
        <w:t xml:space="preserve">General Medical Practitioners: </w:t>
      </w:r>
      <w:r>
        <w:t>Functions as an instant computational second opinion during routine checkups.</w:t>
        <w:br/>
        <w:t xml:space="preserve">• </w:t>
      </w:r>
      <w:r>
        <w:rPr>
          <w:b/>
        </w:rPr>
        <w:t xml:space="preserve">General Public / Patients: </w:t>
      </w:r>
      <w:r>
        <w:t>Facilitates proactive self-screening to encourage early clinical consultations and lifestyle modifications.</w:t>
      </w:r>
    </w:p>
    <w:p>
      <w:pPr>
        <w:keepNext/>
        <w:spacing w:before="200" w:after="80" w:line="360" w:lineRule="auto"/>
      </w:pPr>
      <w:r>
        <w:rPr>
          <w:rFonts w:ascii="Times New Roman" w:hAnsi="Times New Roman"/>
          <w:b/>
          <w:color w:val="1B365D"/>
          <w:sz w:val="26"/>
        </w:rPr>
        <w:t>4.4 Scope for Future Enhancement</w:t>
      </w:r>
    </w:p>
    <w:p>
      <w:pPr>
        <w:spacing w:before="0" w:after="120" w:line="360" w:lineRule="auto"/>
        <w:jc w:val="both"/>
      </w:pPr>
      <w:r>
        <w:t xml:space="preserve">1. </w:t>
      </w:r>
      <w:r>
        <w:rPr>
          <w:b/>
        </w:rPr>
        <w:t xml:space="preserve">Explainable AI (XAI) Integration: </w:t>
      </w:r>
      <w:r>
        <w:t>Incorporation of SHAP / LIME explainability frameworks to highlight the exact mathematical contribution of each patient feature to the final risk score.</w:t>
        <w:br/>
        <w:t xml:space="preserve">2. </w:t>
      </w:r>
      <w:r>
        <w:rPr>
          <w:b/>
        </w:rPr>
        <w:t xml:space="preserve">IoT Wearable Sensor Sync: </w:t>
      </w:r>
      <w:r>
        <w:t>Direct synchronization with consumer smartwatch telemetry (real-time PPG heart rate, single-lead ECG data, SpO2) for dynamic risk tracking.</w:t>
        <w:br/>
        <w:t xml:space="preserve">3. </w:t>
      </w:r>
      <w:r>
        <w:rPr>
          <w:b/>
        </w:rPr>
        <w:t xml:space="preserve">EHR &amp; Cloud Integration: </w:t>
      </w:r>
      <w:r>
        <w:t>Integration with hospital Electronic Health Records (FHIR standard) and cloud deployment (AWS/GCP) for hospital-wide accessibility.</w:t>
      </w:r>
    </w:p>
    <w:p>
      <w:r>
        <w:br w:type="page"/>
      </w:r>
    </w:p>
    <w:p>
      <w:pPr>
        <w:keepNext/>
        <w:spacing w:before="280" w:after="120" w:line="360" w:lineRule="auto"/>
      </w:pPr>
      <w:r>
        <w:rPr>
          <w:rFonts w:ascii="Times New Roman" w:hAnsi="Times New Roman"/>
          <w:b/>
          <w:color w:val="002060"/>
          <w:sz w:val="30"/>
        </w:rPr>
        <w:t>5. TENTATIVE WORK PLAN (10-WEEK TIMELINE)</w:t>
      </w:r>
    </w:p>
    <w:p>
      <w:pPr>
        <w:spacing w:before="0" w:after="120" w:line="360" w:lineRule="auto"/>
        <w:jc w:val="both"/>
      </w:pPr>
      <w:r>
        <w:t>The development lifecycle of the Major Project is planned across a 10-week systematic timeline mapped to academic review milestones:</w:t>
      </w:r>
    </w:p>
    <w:tbl>
      <w:tblPr>
        <w:tblW w:type="auto" w:w="0"/>
        <w:jc w:val="center"/>
        <w:tblLayout w:type="fixed"/>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2446"/>
        <w:gridCol w:w="2446"/>
        <w:gridCol w:w="2446"/>
        <w:gridCol w:w="2446"/>
      </w:tblGrid>
      <w:tr>
        <w:tc>
          <w:tcPr>
            <w:tcW w:type="dxa" w:w="1296"/>
            <w:shd w:fill="002060"/>
            <w:tcMar>
              <w:top w:w="100" w:type="dxa"/>
              <w:bottom w:w="100" w:type="dxa"/>
              <w:left w:w="100" w:type="dxa"/>
              <w:right w:w="100" w:type="dxa"/>
            </w:tcMar>
          </w:tcPr>
          <w:p>
            <w:pPr>
              <w:jc w:val="center"/>
            </w:pPr>
            <w:r>
              <w:rPr>
                <w:rFonts w:ascii="Times New Roman" w:hAnsi="Times New Roman"/>
                <w:b/>
                <w:color w:val="FFFFFF"/>
                <w:sz w:val="19"/>
              </w:rPr>
              <w:t>Week</w:t>
            </w:r>
          </w:p>
        </w:tc>
        <w:tc>
          <w:tcPr>
            <w:tcW w:type="dxa" w:w="4032"/>
            <w:shd w:fill="002060"/>
            <w:tcMar>
              <w:top w:w="100" w:type="dxa"/>
              <w:bottom w:w="100" w:type="dxa"/>
              <w:left w:w="100" w:type="dxa"/>
              <w:right w:w="100" w:type="dxa"/>
            </w:tcMar>
          </w:tcPr>
          <w:p>
            <w:pPr>
              <w:jc w:val="center"/>
            </w:pPr>
            <w:r>
              <w:rPr>
                <w:rFonts w:ascii="Times New Roman" w:hAnsi="Times New Roman"/>
                <w:b/>
                <w:color w:val="FFFFFF"/>
                <w:sz w:val="19"/>
              </w:rPr>
              <w:t>Activity / Major Task</w:t>
            </w:r>
          </w:p>
        </w:tc>
        <w:tc>
          <w:tcPr>
            <w:tcW w:type="dxa" w:w="3600"/>
            <w:shd w:fill="002060"/>
            <w:tcMar>
              <w:top w:w="100" w:type="dxa"/>
              <w:bottom w:w="100" w:type="dxa"/>
              <w:left w:w="100" w:type="dxa"/>
              <w:right w:w="100" w:type="dxa"/>
            </w:tcMar>
          </w:tcPr>
          <w:p>
            <w:pPr>
              <w:jc w:val="center"/>
            </w:pPr>
            <w:r>
              <w:rPr>
                <w:rFonts w:ascii="Times New Roman" w:hAnsi="Times New Roman"/>
                <w:b/>
                <w:color w:val="FFFFFF"/>
                <w:sz w:val="19"/>
              </w:rPr>
              <w:t>Deliverable / Outcome</w:t>
            </w:r>
          </w:p>
        </w:tc>
        <w:tc>
          <w:tcPr>
            <w:tcW w:type="dxa" w:w="1440"/>
            <w:shd w:fill="002060"/>
            <w:tcMar>
              <w:top w:w="100" w:type="dxa"/>
              <w:bottom w:w="100" w:type="dxa"/>
              <w:left w:w="100" w:type="dxa"/>
              <w:right w:w="100" w:type="dxa"/>
            </w:tcMar>
          </w:tcPr>
          <w:p>
            <w:pPr>
              <w:jc w:val="center"/>
            </w:pPr>
            <w:r>
              <w:rPr>
                <w:rFonts w:ascii="Times New Roman" w:hAnsi="Times New Roman"/>
                <w:b/>
                <w:color w:val="FFFFFF"/>
                <w:sz w:val="19"/>
              </w:rPr>
              <w:t>Status</w:t>
            </w:r>
          </w:p>
        </w:tc>
      </w:tr>
      <w:tr>
        <w:tc>
          <w:tcPr>
            <w:tcW w:type="dxa" w:w="1296"/>
            <w:shd w:fill="F9FAFC"/>
            <w:tcMar>
              <w:top w:w="70" w:type="dxa"/>
              <w:bottom w:w="70" w:type="dxa"/>
              <w:left w:w="100" w:type="dxa"/>
              <w:right w:w="100" w:type="dxa"/>
            </w:tcMar>
          </w:tcPr>
          <w:p>
            <w:pPr>
              <w:jc w:val="center"/>
            </w:pPr>
            <w:r>
              <w:rPr>
                <w:rFonts w:ascii="Times New Roman" w:hAnsi="Times New Roman"/>
                <w:sz w:val="18"/>
              </w:rPr>
              <w:t>Week 1</w:t>
            </w:r>
          </w:p>
        </w:tc>
        <w:tc>
          <w:tcPr>
            <w:tcW w:type="dxa" w:w="4032"/>
            <w:shd w:fill="F9FAFC"/>
            <w:tcMar>
              <w:top w:w="70" w:type="dxa"/>
              <w:bottom w:w="70" w:type="dxa"/>
              <w:left w:w="100" w:type="dxa"/>
              <w:right w:w="100" w:type="dxa"/>
            </w:tcMar>
          </w:tcPr>
          <w:p>
            <w:pPr>
              <w:jc w:val="left"/>
            </w:pPr>
            <w:r>
              <w:rPr>
                <w:rFonts w:ascii="Times New Roman" w:hAnsi="Times New Roman"/>
                <w:sz w:val="18"/>
              </w:rPr>
              <w:t>Problem Identification &amp; Domain Research</w:t>
            </w:r>
          </w:p>
        </w:tc>
        <w:tc>
          <w:tcPr>
            <w:tcW w:type="dxa" w:w="3600"/>
            <w:shd w:fill="F9FAFC"/>
            <w:tcMar>
              <w:top w:w="70" w:type="dxa"/>
              <w:bottom w:w="70" w:type="dxa"/>
              <w:left w:w="100" w:type="dxa"/>
              <w:right w:w="100" w:type="dxa"/>
            </w:tcMar>
          </w:tcPr>
          <w:p>
            <w:pPr>
              <w:jc w:val="left"/>
            </w:pPr>
            <w:r>
              <w:rPr>
                <w:rFonts w:ascii="Times New Roman" w:hAnsi="Times New Roman"/>
                <w:sz w:val="18"/>
              </w:rPr>
              <w:t>Project Scope &amp; Feasibility Report</w:t>
            </w:r>
          </w:p>
        </w:tc>
        <w:tc>
          <w:tcPr>
            <w:tcW w:type="dxa" w:w="1440"/>
            <w:shd w:fill="F9FAFC"/>
            <w:tcMar>
              <w:top w:w="70" w:type="dxa"/>
              <w:bottom w:w="70" w:type="dxa"/>
              <w:left w:w="100" w:type="dxa"/>
              <w:right w:w="100" w:type="dxa"/>
            </w:tcMar>
          </w:tcPr>
          <w:p>
            <w:pPr>
              <w:jc w:val="center"/>
            </w:pPr>
            <w:r>
              <w:rPr>
                <w:rFonts w:ascii="Times New Roman" w:hAnsi="Times New Roman"/>
                <w:b/>
                <w:color w:val="008000"/>
                <w:sz w:val="18"/>
              </w:rPr>
              <w:t>Completed</w:t>
            </w:r>
          </w:p>
        </w:tc>
      </w:tr>
      <w:tr>
        <w:tc>
          <w:tcPr>
            <w:tcW w:type="dxa" w:w="1296"/>
            <w:tcMar>
              <w:top w:w="70" w:type="dxa"/>
              <w:bottom w:w="70" w:type="dxa"/>
              <w:left w:w="100" w:type="dxa"/>
              <w:right w:w="100" w:type="dxa"/>
            </w:tcMar>
          </w:tcPr>
          <w:p>
            <w:pPr>
              <w:jc w:val="center"/>
            </w:pPr>
            <w:r>
              <w:rPr>
                <w:rFonts w:ascii="Times New Roman" w:hAnsi="Times New Roman"/>
                <w:sz w:val="18"/>
              </w:rPr>
              <w:t>Week 2</w:t>
            </w:r>
          </w:p>
        </w:tc>
        <w:tc>
          <w:tcPr>
            <w:tcW w:type="dxa" w:w="4032"/>
            <w:tcMar>
              <w:top w:w="70" w:type="dxa"/>
              <w:bottom w:w="70" w:type="dxa"/>
              <w:left w:w="100" w:type="dxa"/>
              <w:right w:w="100" w:type="dxa"/>
            </w:tcMar>
          </w:tcPr>
          <w:p>
            <w:pPr>
              <w:jc w:val="left"/>
            </w:pPr>
            <w:r>
              <w:rPr>
                <w:rFonts w:ascii="Times New Roman" w:hAnsi="Times New Roman"/>
                <w:sz w:val="18"/>
              </w:rPr>
              <w:t>Literature Review &amp; Dataset Acquisition</w:t>
            </w:r>
          </w:p>
        </w:tc>
        <w:tc>
          <w:tcPr>
            <w:tcW w:type="dxa" w:w="3600"/>
            <w:tcMar>
              <w:top w:w="70" w:type="dxa"/>
              <w:bottom w:w="70" w:type="dxa"/>
              <w:left w:w="100" w:type="dxa"/>
              <w:right w:w="100" w:type="dxa"/>
            </w:tcMar>
          </w:tcPr>
          <w:p>
            <w:pPr>
              <w:jc w:val="left"/>
            </w:pPr>
            <w:r>
              <w:rPr>
                <w:rFonts w:ascii="Times New Roman" w:hAnsi="Times New Roman"/>
                <w:sz w:val="18"/>
              </w:rPr>
              <w:t>Literature Survey &amp; UCI Dataset Curation</w:t>
            </w:r>
          </w:p>
        </w:tc>
        <w:tc>
          <w:tcPr>
            <w:tcW w:type="dxa" w:w="1440"/>
            <w:tcMar>
              <w:top w:w="70" w:type="dxa"/>
              <w:bottom w:w="70" w:type="dxa"/>
              <w:left w:w="100" w:type="dxa"/>
              <w:right w:w="100" w:type="dxa"/>
            </w:tcMar>
          </w:tcPr>
          <w:p>
            <w:pPr>
              <w:jc w:val="center"/>
            </w:pPr>
            <w:r>
              <w:rPr>
                <w:rFonts w:ascii="Times New Roman" w:hAnsi="Times New Roman"/>
                <w:b/>
                <w:color w:val="008000"/>
                <w:sz w:val="18"/>
              </w:rPr>
              <w:t>Completed</w:t>
            </w:r>
          </w:p>
        </w:tc>
      </w:tr>
      <w:tr>
        <w:tc>
          <w:tcPr>
            <w:tcW w:type="dxa" w:w="1296"/>
            <w:shd w:fill="F9FAFC"/>
            <w:tcMar>
              <w:top w:w="70" w:type="dxa"/>
              <w:bottom w:w="70" w:type="dxa"/>
              <w:left w:w="100" w:type="dxa"/>
              <w:right w:w="100" w:type="dxa"/>
            </w:tcMar>
          </w:tcPr>
          <w:p>
            <w:pPr>
              <w:jc w:val="center"/>
            </w:pPr>
            <w:r>
              <w:rPr>
                <w:rFonts w:ascii="Times New Roman" w:hAnsi="Times New Roman"/>
                <w:sz w:val="18"/>
              </w:rPr>
              <w:t>Week 3</w:t>
            </w:r>
          </w:p>
        </w:tc>
        <w:tc>
          <w:tcPr>
            <w:tcW w:type="dxa" w:w="4032"/>
            <w:shd w:fill="F9FAFC"/>
            <w:tcMar>
              <w:top w:w="70" w:type="dxa"/>
              <w:bottom w:w="70" w:type="dxa"/>
              <w:left w:w="100" w:type="dxa"/>
              <w:right w:w="100" w:type="dxa"/>
            </w:tcMar>
          </w:tcPr>
          <w:p>
            <w:pPr>
              <w:jc w:val="left"/>
            </w:pPr>
            <w:r>
              <w:rPr>
                <w:rFonts w:ascii="Times New Roman" w:hAnsi="Times New Roman"/>
                <w:sz w:val="18"/>
              </w:rPr>
              <w:t>Data Cleaning, Imputation &amp; Exploratory Data Analysis</w:t>
            </w:r>
          </w:p>
        </w:tc>
        <w:tc>
          <w:tcPr>
            <w:tcW w:type="dxa" w:w="3600"/>
            <w:shd w:fill="F9FAFC"/>
            <w:tcMar>
              <w:top w:w="70" w:type="dxa"/>
              <w:bottom w:w="70" w:type="dxa"/>
              <w:left w:w="100" w:type="dxa"/>
              <w:right w:w="100" w:type="dxa"/>
            </w:tcMar>
          </w:tcPr>
          <w:p>
            <w:pPr>
              <w:jc w:val="left"/>
            </w:pPr>
            <w:r>
              <w:rPr>
                <w:rFonts w:ascii="Times New Roman" w:hAnsi="Times New Roman"/>
                <w:sz w:val="18"/>
              </w:rPr>
              <w:t>EDA Visualizations &amp; Clean Dataset</w:t>
            </w:r>
          </w:p>
        </w:tc>
        <w:tc>
          <w:tcPr>
            <w:tcW w:type="dxa" w:w="1440"/>
            <w:shd w:fill="F9FAFC"/>
            <w:tcMar>
              <w:top w:w="70" w:type="dxa"/>
              <w:bottom w:w="70" w:type="dxa"/>
              <w:left w:w="100" w:type="dxa"/>
              <w:right w:w="100" w:type="dxa"/>
            </w:tcMar>
          </w:tcPr>
          <w:p>
            <w:pPr>
              <w:jc w:val="center"/>
            </w:pPr>
            <w:r>
              <w:rPr>
                <w:rFonts w:ascii="Times New Roman" w:hAnsi="Times New Roman"/>
                <w:b/>
                <w:color w:val="008000"/>
                <w:sz w:val="18"/>
              </w:rPr>
              <w:t>Completed</w:t>
            </w:r>
          </w:p>
        </w:tc>
      </w:tr>
      <w:tr>
        <w:tc>
          <w:tcPr>
            <w:tcW w:type="dxa" w:w="1296"/>
            <w:tcMar>
              <w:top w:w="70" w:type="dxa"/>
              <w:bottom w:w="70" w:type="dxa"/>
              <w:left w:w="100" w:type="dxa"/>
              <w:right w:w="100" w:type="dxa"/>
            </w:tcMar>
          </w:tcPr>
          <w:p>
            <w:pPr>
              <w:jc w:val="center"/>
            </w:pPr>
            <w:r>
              <w:rPr>
                <w:rFonts w:ascii="Times New Roman" w:hAnsi="Times New Roman"/>
                <w:sz w:val="18"/>
              </w:rPr>
              <w:t>Week 4</w:t>
            </w:r>
          </w:p>
        </w:tc>
        <w:tc>
          <w:tcPr>
            <w:tcW w:type="dxa" w:w="4032"/>
            <w:tcMar>
              <w:top w:w="70" w:type="dxa"/>
              <w:bottom w:w="70" w:type="dxa"/>
              <w:left w:w="100" w:type="dxa"/>
              <w:right w:w="100" w:type="dxa"/>
            </w:tcMar>
          </w:tcPr>
          <w:p>
            <w:pPr>
              <w:jc w:val="left"/>
            </w:pPr>
            <w:r>
              <w:rPr>
                <w:rFonts w:ascii="Times New Roman" w:hAnsi="Times New Roman"/>
                <w:sz w:val="18"/>
              </w:rPr>
              <w:t>Feature Engineering, Categorical Encoding &amp; Scaling</w:t>
            </w:r>
          </w:p>
        </w:tc>
        <w:tc>
          <w:tcPr>
            <w:tcW w:type="dxa" w:w="3600"/>
            <w:tcMar>
              <w:top w:w="70" w:type="dxa"/>
              <w:bottom w:w="70" w:type="dxa"/>
              <w:left w:w="100" w:type="dxa"/>
              <w:right w:w="100" w:type="dxa"/>
            </w:tcMar>
          </w:tcPr>
          <w:p>
            <w:pPr>
              <w:jc w:val="left"/>
            </w:pPr>
            <w:r>
              <w:rPr>
                <w:rFonts w:ascii="Times New Roman" w:hAnsi="Times New Roman"/>
                <w:sz w:val="18"/>
              </w:rPr>
              <w:t>Preprocessed Matrix &amp; Scaler Object</w:t>
            </w:r>
          </w:p>
        </w:tc>
        <w:tc>
          <w:tcPr>
            <w:tcW w:type="dxa" w:w="1440"/>
            <w:tcMar>
              <w:top w:w="70" w:type="dxa"/>
              <w:bottom w:w="70" w:type="dxa"/>
              <w:left w:w="100" w:type="dxa"/>
              <w:right w:w="100" w:type="dxa"/>
            </w:tcMar>
          </w:tcPr>
          <w:p>
            <w:pPr>
              <w:jc w:val="center"/>
            </w:pPr>
            <w:r>
              <w:rPr>
                <w:rFonts w:ascii="Times New Roman" w:hAnsi="Times New Roman"/>
                <w:b/>
                <w:color w:val="008000"/>
                <w:sz w:val="18"/>
              </w:rPr>
              <w:t>Completed</w:t>
            </w:r>
          </w:p>
        </w:tc>
      </w:tr>
      <w:tr>
        <w:tc>
          <w:tcPr>
            <w:tcW w:type="dxa" w:w="1296"/>
            <w:shd w:fill="F9FAFC"/>
            <w:tcMar>
              <w:top w:w="70" w:type="dxa"/>
              <w:bottom w:w="70" w:type="dxa"/>
              <w:left w:w="100" w:type="dxa"/>
              <w:right w:w="100" w:type="dxa"/>
            </w:tcMar>
          </w:tcPr>
          <w:p>
            <w:pPr>
              <w:jc w:val="center"/>
            </w:pPr>
            <w:r>
              <w:rPr>
                <w:rFonts w:ascii="Times New Roman" w:hAnsi="Times New Roman"/>
                <w:sz w:val="18"/>
              </w:rPr>
              <w:t>Week 5</w:t>
            </w:r>
          </w:p>
        </w:tc>
        <w:tc>
          <w:tcPr>
            <w:tcW w:type="dxa" w:w="4032"/>
            <w:shd w:fill="F9FAFC"/>
            <w:tcMar>
              <w:top w:w="70" w:type="dxa"/>
              <w:bottom w:w="70" w:type="dxa"/>
              <w:left w:w="100" w:type="dxa"/>
              <w:right w:w="100" w:type="dxa"/>
            </w:tcMar>
          </w:tcPr>
          <w:p>
            <w:pPr>
              <w:jc w:val="left"/>
            </w:pPr>
            <w:r>
              <w:rPr>
                <w:rFonts w:ascii="Times New Roman" w:hAnsi="Times New Roman"/>
                <w:sz w:val="18"/>
              </w:rPr>
              <w:t>Model Selection, KNN Architecture &amp; Parameter Tuning</w:t>
            </w:r>
          </w:p>
        </w:tc>
        <w:tc>
          <w:tcPr>
            <w:tcW w:type="dxa" w:w="3600"/>
            <w:shd w:fill="F9FAFC"/>
            <w:tcMar>
              <w:top w:w="70" w:type="dxa"/>
              <w:bottom w:w="70" w:type="dxa"/>
              <w:left w:w="100" w:type="dxa"/>
              <w:right w:w="100" w:type="dxa"/>
            </w:tcMar>
          </w:tcPr>
          <w:p>
            <w:pPr>
              <w:jc w:val="left"/>
            </w:pPr>
            <w:r>
              <w:rPr>
                <w:rFonts w:ascii="Times New Roman" w:hAnsi="Times New Roman"/>
                <w:sz w:val="18"/>
              </w:rPr>
              <w:t>Baseline Trained KNN Classifier</w:t>
            </w:r>
          </w:p>
        </w:tc>
        <w:tc>
          <w:tcPr>
            <w:tcW w:type="dxa" w:w="1440"/>
            <w:shd w:fill="F9FAFC"/>
            <w:tcMar>
              <w:top w:w="70" w:type="dxa"/>
              <w:bottom w:w="70" w:type="dxa"/>
              <w:left w:w="100" w:type="dxa"/>
              <w:right w:w="100" w:type="dxa"/>
            </w:tcMar>
          </w:tcPr>
          <w:p>
            <w:pPr>
              <w:jc w:val="center"/>
            </w:pPr>
            <w:r>
              <w:rPr>
                <w:rFonts w:ascii="Times New Roman" w:hAnsi="Times New Roman"/>
                <w:b/>
                <w:color w:val="008000"/>
                <w:sz w:val="18"/>
              </w:rPr>
              <w:t>Completed</w:t>
            </w:r>
          </w:p>
        </w:tc>
      </w:tr>
      <w:tr>
        <w:tc>
          <w:tcPr>
            <w:tcW w:type="dxa" w:w="1296"/>
            <w:tcMar>
              <w:top w:w="70" w:type="dxa"/>
              <w:bottom w:w="70" w:type="dxa"/>
              <w:left w:w="100" w:type="dxa"/>
              <w:right w:w="100" w:type="dxa"/>
            </w:tcMar>
          </w:tcPr>
          <w:p>
            <w:pPr>
              <w:jc w:val="center"/>
            </w:pPr>
            <w:r>
              <w:rPr>
                <w:rFonts w:ascii="Times New Roman" w:hAnsi="Times New Roman"/>
                <w:sz w:val="18"/>
              </w:rPr>
              <w:t>Week 6</w:t>
            </w:r>
          </w:p>
        </w:tc>
        <w:tc>
          <w:tcPr>
            <w:tcW w:type="dxa" w:w="4032"/>
            <w:tcMar>
              <w:top w:w="70" w:type="dxa"/>
              <w:bottom w:w="70" w:type="dxa"/>
              <w:left w:w="100" w:type="dxa"/>
              <w:right w:w="100" w:type="dxa"/>
            </w:tcMar>
          </w:tcPr>
          <w:p>
            <w:pPr>
              <w:jc w:val="left"/>
            </w:pPr>
            <w:r>
              <w:rPr>
                <w:rFonts w:ascii="Times New Roman" w:hAnsi="Times New Roman"/>
                <w:sz w:val="18"/>
              </w:rPr>
              <w:t>Model Evaluation (Cross-Validation, Confusion Matrix)</w:t>
            </w:r>
          </w:p>
        </w:tc>
        <w:tc>
          <w:tcPr>
            <w:tcW w:type="dxa" w:w="3600"/>
            <w:tcMar>
              <w:top w:w="70" w:type="dxa"/>
              <w:bottom w:w="70" w:type="dxa"/>
              <w:left w:w="100" w:type="dxa"/>
              <w:right w:w="100" w:type="dxa"/>
            </w:tcMar>
          </w:tcPr>
          <w:p>
            <w:pPr>
              <w:jc w:val="left"/>
            </w:pPr>
            <w:r>
              <w:rPr>
                <w:rFonts w:ascii="Times New Roman" w:hAnsi="Times New Roman"/>
                <w:sz w:val="18"/>
              </w:rPr>
              <w:t>Accuracy &amp; Performance Metric Benchmark</w:t>
            </w:r>
          </w:p>
        </w:tc>
        <w:tc>
          <w:tcPr>
            <w:tcW w:type="dxa" w:w="1440"/>
            <w:tcMar>
              <w:top w:w="70" w:type="dxa"/>
              <w:bottom w:w="70" w:type="dxa"/>
              <w:left w:w="100" w:type="dxa"/>
              <w:right w:w="100" w:type="dxa"/>
            </w:tcMar>
          </w:tcPr>
          <w:p>
            <w:pPr>
              <w:jc w:val="center"/>
            </w:pPr>
            <w:r>
              <w:rPr>
                <w:rFonts w:ascii="Times New Roman" w:hAnsi="Times New Roman"/>
                <w:b/>
                <w:color w:val="008000"/>
                <w:sz w:val="18"/>
              </w:rPr>
              <w:t>Completed</w:t>
            </w:r>
          </w:p>
        </w:tc>
      </w:tr>
      <w:tr>
        <w:tc>
          <w:tcPr>
            <w:tcW w:type="dxa" w:w="1296"/>
            <w:shd w:fill="F9FAFC"/>
            <w:tcMar>
              <w:top w:w="70" w:type="dxa"/>
              <w:bottom w:w="70" w:type="dxa"/>
              <w:left w:w="100" w:type="dxa"/>
              <w:right w:w="100" w:type="dxa"/>
            </w:tcMar>
          </w:tcPr>
          <w:p>
            <w:pPr>
              <w:jc w:val="center"/>
            </w:pPr>
            <w:r>
              <w:rPr>
                <w:rFonts w:ascii="Times New Roman" w:hAnsi="Times New Roman"/>
                <w:sz w:val="18"/>
              </w:rPr>
              <w:t>Week 7</w:t>
            </w:r>
          </w:p>
        </w:tc>
        <w:tc>
          <w:tcPr>
            <w:tcW w:type="dxa" w:w="4032"/>
            <w:shd w:fill="F9FAFC"/>
            <w:tcMar>
              <w:top w:w="70" w:type="dxa"/>
              <w:bottom w:w="70" w:type="dxa"/>
              <w:left w:w="100" w:type="dxa"/>
              <w:right w:w="100" w:type="dxa"/>
            </w:tcMar>
          </w:tcPr>
          <w:p>
            <w:pPr>
              <w:jc w:val="left"/>
            </w:pPr>
            <w:r>
              <w:rPr>
                <w:rFonts w:ascii="Times New Roman" w:hAnsi="Times New Roman"/>
                <w:sz w:val="18"/>
              </w:rPr>
              <w:t>Model Serialization &amp; Streamlit Web UI Development</w:t>
            </w:r>
          </w:p>
        </w:tc>
        <w:tc>
          <w:tcPr>
            <w:tcW w:type="dxa" w:w="3600"/>
            <w:shd w:fill="F9FAFC"/>
            <w:tcMar>
              <w:top w:w="70" w:type="dxa"/>
              <w:bottom w:w="70" w:type="dxa"/>
              <w:left w:w="100" w:type="dxa"/>
              <w:right w:w="100" w:type="dxa"/>
            </w:tcMar>
          </w:tcPr>
          <w:p>
            <w:pPr>
              <w:jc w:val="left"/>
            </w:pPr>
            <w:r>
              <w:rPr>
                <w:rFonts w:ascii="Times New Roman" w:hAnsi="Times New Roman"/>
                <w:sz w:val="18"/>
              </w:rPr>
              <w:t>Interactive Streamlit Web Dashboard</w:t>
            </w:r>
          </w:p>
        </w:tc>
        <w:tc>
          <w:tcPr>
            <w:tcW w:type="dxa" w:w="1440"/>
            <w:shd w:fill="F9FAFC"/>
            <w:tcMar>
              <w:top w:w="70" w:type="dxa"/>
              <w:bottom w:w="70" w:type="dxa"/>
              <w:left w:w="100" w:type="dxa"/>
              <w:right w:w="100" w:type="dxa"/>
            </w:tcMar>
          </w:tcPr>
          <w:p>
            <w:pPr>
              <w:jc w:val="center"/>
            </w:pPr>
            <w:r>
              <w:rPr>
                <w:rFonts w:ascii="Times New Roman" w:hAnsi="Times New Roman"/>
                <w:b/>
                <w:color w:val="008000"/>
                <w:sz w:val="18"/>
              </w:rPr>
              <w:t>Completed</w:t>
            </w:r>
          </w:p>
        </w:tc>
      </w:tr>
      <w:tr>
        <w:tc>
          <w:tcPr>
            <w:tcW w:type="dxa" w:w="1296"/>
            <w:tcMar>
              <w:top w:w="70" w:type="dxa"/>
              <w:bottom w:w="70" w:type="dxa"/>
              <w:left w:w="100" w:type="dxa"/>
              <w:right w:w="100" w:type="dxa"/>
            </w:tcMar>
          </w:tcPr>
          <w:p>
            <w:pPr>
              <w:jc w:val="center"/>
            </w:pPr>
            <w:r>
              <w:rPr>
                <w:rFonts w:ascii="Times New Roman" w:hAnsi="Times New Roman"/>
                <w:sz w:val="18"/>
              </w:rPr>
              <w:t>Week 8</w:t>
            </w:r>
          </w:p>
        </w:tc>
        <w:tc>
          <w:tcPr>
            <w:tcW w:type="dxa" w:w="4032"/>
            <w:tcMar>
              <w:top w:w="70" w:type="dxa"/>
              <w:bottom w:w="70" w:type="dxa"/>
              <w:left w:w="100" w:type="dxa"/>
              <w:right w:w="100" w:type="dxa"/>
            </w:tcMar>
          </w:tcPr>
          <w:p>
            <w:pPr>
              <w:jc w:val="left"/>
            </w:pPr>
            <w:r>
              <w:rPr>
                <w:rFonts w:ascii="Times New Roman" w:hAnsi="Times New Roman"/>
                <w:sz w:val="18"/>
              </w:rPr>
              <w:t>System Integration, Exception Handling &amp; Edge Testing</w:t>
            </w:r>
          </w:p>
        </w:tc>
        <w:tc>
          <w:tcPr>
            <w:tcW w:type="dxa" w:w="3600"/>
            <w:tcMar>
              <w:top w:w="70" w:type="dxa"/>
              <w:bottom w:w="70" w:type="dxa"/>
              <w:left w:w="100" w:type="dxa"/>
              <w:right w:w="100" w:type="dxa"/>
            </w:tcMar>
          </w:tcPr>
          <w:p>
            <w:pPr>
              <w:jc w:val="left"/>
            </w:pPr>
            <w:r>
              <w:rPr>
                <w:rFonts w:ascii="Times New Roman" w:hAnsi="Times New Roman"/>
                <w:sz w:val="18"/>
              </w:rPr>
              <w:t>Integrated Production Application</w:t>
            </w:r>
          </w:p>
        </w:tc>
        <w:tc>
          <w:tcPr>
            <w:tcW w:type="dxa" w:w="1440"/>
            <w:tcMar>
              <w:top w:w="70" w:type="dxa"/>
              <w:bottom w:w="70" w:type="dxa"/>
              <w:left w:w="100" w:type="dxa"/>
              <w:right w:w="100" w:type="dxa"/>
            </w:tcMar>
          </w:tcPr>
          <w:p>
            <w:pPr>
              <w:jc w:val="center"/>
            </w:pPr>
            <w:r>
              <w:rPr>
                <w:rFonts w:ascii="Times New Roman" w:hAnsi="Times New Roman"/>
                <w:b/>
                <w:color w:val="B86000"/>
                <w:sz w:val="18"/>
              </w:rPr>
              <w:t>In Progress</w:t>
            </w:r>
          </w:p>
        </w:tc>
      </w:tr>
      <w:tr>
        <w:tc>
          <w:tcPr>
            <w:tcW w:type="dxa" w:w="1296"/>
            <w:shd w:fill="F9FAFC"/>
            <w:tcMar>
              <w:top w:w="70" w:type="dxa"/>
              <w:bottom w:w="70" w:type="dxa"/>
              <w:left w:w="100" w:type="dxa"/>
              <w:right w:w="100" w:type="dxa"/>
            </w:tcMar>
          </w:tcPr>
          <w:p>
            <w:pPr>
              <w:jc w:val="center"/>
            </w:pPr>
            <w:r>
              <w:rPr>
                <w:rFonts w:ascii="Times New Roman" w:hAnsi="Times New Roman"/>
                <w:sz w:val="18"/>
              </w:rPr>
              <w:t>Week 9</w:t>
            </w:r>
          </w:p>
        </w:tc>
        <w:tc>
          <w:tcPr>
            <w:tcW w:type="dxa" w:w="4032"/>
            <w:shd w:fill="F9FAFC"/>
            <w:tcMar>
              <w:top w:w="70" w:type="dxa"/>
              <w:bottom w:w="70" w:type="dxa"/>
              <w:left w:w="100" w:type="dxa"/>
              <w:right w:w="100" w:type="dxa"/>
            </w:tcMar>
          </w:tcPr>
          <w:p>
            <w:pPr>
              <w:jc w:val="left"/>
            </w:pPr>
            <w:r>
              <w:rPr>
                <w:rFonts w:ascii="Times New Roman" w:hAnsi="Times New Roman"/>
                <w:sz w:val="18"/>
              </w:rPr>
              <w:t>Synopsis &amp; Major Project Documentation Preparation</w:t>
            </w:r>
          </w:p>
        </w:tc>
        <w:tc>
          <w:tcPr>
            <w:tcW w:type="dxa" w:w="3600"/>
            <w:shd w:fill="F9FAFC"/>
            <w:tcMar>
              <w:top w:w="70" w:type="dxa"/>
              <w:bottom w:w="70" w:type="dxa"/>
              <w:left w:w="100" w:type="dxa"/>
              <w:right w:w="100" w:type="dxa"/>
            </w:tcMar>
          </w:tcPr>
          <w:p>
            <w:pPr>
              <w:jc w:val="left"/>
            </w:pPr>
            <w:r>
              <w:rPr>
                <w:rFonts w:ascii="Times New Roman" w:hAnsi="Times New Roman"/>
                <w:sz w:val="18"/>
              </w:rPr>
              <w:t>Draft Synopsis &amp; Presentation Deck</w:t>
            </w:r>
          </w:p>
        </w:tc>
        <w:tc>
          <w:tcPr>
            <w:tcW w:type="dxa" w:w="1440"/>
            <w:shd w:fill="F9FAFC"/>
            <w:tcMar>
              <w:top w:w="70" w:type="dxa"/>
              <w:bottom w:w="70" w:type="dxa"/>
              <w:left w:w="100" w:type="dxa"/>
              <w:right w:w="100" w:type="dxa"/>
            </w:tcMar>
          </w:tcPr>
          <w:p>
            <w:pPr>
              <w:jc w:val="center"/>
            </w:pPr>
            <w:r>
              <w:rPr>
                <w:rFonts w:ascii="Times New Roman" w:hAnsi="Times New Roman"/>
                <w:b/>
                <w:color w:val="B86000"/>
                <w:sz w:val="18"/>
              </w:rPr>
              <w:t>In Progress</w:t>
            </w:r>
          </w:p>
        </w:tc>
      </w:tr>
      <w:tr>
        <w:tc>
          <w:tcPr>
            <w:tcW w:type="dxa" w:w="1296"/>
            <w:tcMar>
              <w:top w:w="70" w:type="dxa"/>
              <w:bottom w:w="70" w:type="dxa"/>
              <w:left w:w="100" w:type="dxa"/>
              <w:right w:w="100" w:type="dxa"/>
            </w:tcMar>
          </w:tcPr>
          <w:p>
            <w:pPr>
              <w:jc w:val="center"/>
            </w:pPr>
            <w:r>
              <w:rPr>
                <w:rFonts w:ascii="Times New Roman" w:hAnsi="Times New Roman"/>
                <w:sz w:val="18"/>
              </w:rPr>
              <w:t>Week 10</w:t>
            </w:r>
          </w:p>
        </w:tc>
        <w:tc>
          <w:tcPr>
            <w:tcW w:type="dxa" w:w="4032"/>
            <w:tcMar>
              <w:top w:w="70" w:type="dxa"/>
              <w:bottom w:w="70" w:type="dxa"/>
              <w:left w:w="100" w:type="dxa"/>
              <w:right w:w="100" w:type="dxa"/>
            </w:tcMar>
          </w:tcPr>
          <w:p>
            <w:pPr>
              <w:jc w:val="left"/>
            </w:pPr>
            <w:r>
              <w:rPr>
                <w:rFonts w:ascii="Times New Roman" w:hAnsi="Times New Roman"/>
                <w:sz w:val="18"/>
              </w:rPr>
              <w:t>Final Demonstration, Review-01 Presentation Defense</w:t>
            </w:r>
          </w:p>
        </w:tc>
        <w:tc>
          <w:tcPr>
            <w:tcW w:type="dxa" w:w="3600"/>
            <w:tcMar>
              <w:top w:w="70" w:type="dxa"/>
              <w:bottom w:w="70" w:type="dxa"/>
              <w:left w:w="100" w:type="dxa"/>
              <w:right w:w="100" w:type="dxa"/>
            </w:tcMar>
          </w:tcPr>
          <w:p>
            <w:pPr>
              <w:jc w:val="left"/>
            </w:pPr>
            <w:r>
              <w:rPr>
                <w:rFonts w:ascii="Times New Roman" w:hAnsi="Times New Roman"/>
                <w:sz w:val="18"/>
              </w:rPr>
              <w:t>Final Presentation &amp; Code Repository</w:t>
            </w:r>
          </w:p>
        </w:tc>
        <w:tc>
          <w:tcPr>
            <w:tcW w:type="dxa" w:w="1440"/>
            <w:tcMar>
              <w:top w:w="70" w:type="dxa"/>
              <w:bottom w:w="70" w:type="dxa"/>
              <w:left w:w="100" w:type="dxa"/>
              <w:right w:w="100" w:type="dxa"/>
            </w:tcMar>
          </w:tcPr>
          <w:p>
            <w:pPr>
              <w:jc w:val="center"/>
            </w:pPr>
            <w:r>
              <w:rPr>
                <w:rFonts w:ascii="Times New Roman" w:hAnsi="Times New Roman"/>
                <w:sz w:val="18"/>
              </w:rPr>
              <w:t>Planned</w:t>
            </w:r>
          </w:p>
        </w:tc>
      </w:tr>
    </w:tbl>
    <w:p>
      <w:r>
        <w:br w:type="page"/>
      </w:r>
    </w:p>
    <w:p>
      <w:pPr>
        <w:keepNext/>
        <w:spacing w:before="280" w:after="120" w:line="360" w:lineRule="auto"/>
      </w:pPr>
      <w:r>
        <w:rPr>
          <w:rFonts w:ascii="Times New Roman" w:hAnsi="Times New Roman"/>
          <w:b/>
          <w:color w:val="002060"/>
          <w:sz w:val="30"/>
        </w:rPr>
        <w:t>6. SOFTWARE AND HARDWARE REQUIREMENTS</w:t>
      </w:r>
    </w:p>
    <w:p>
      <w:pPr>
        <w:keepNext/>
        <w:spacing w:before="200" w:after="80" w:line="360" w:lineRule="auto"/>
      </w:pPr>
      <w:r>
        <w:rPr>
          <w:rFonts w:ascii="Times New Roman" w:hAnsi="Times New Roman"/>
          <w:b/>
          <w:color w:val="1B365D"/>
          <w:sz w:val="26"/>
        </w:rPr>
        <w:t>6.1 Software Requirements</w:t>
      </w:r>
    </w:p>
    <w:tbl>
      <w:tblPr>
        <w:tblW w:type="auto" w:w="0"/>
        <w:jc w:val="center"/>
        <w:tblLayout w:type="fixed"/>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3261"/>
        <w:gridCol w:w="3261"/>
        <w:gridCol w:w="3261"/>
      </w:tblGrid>
      <w:tr>
        <w:tc>
          <w:tcPr>
            <w:tcW w:type="dxa" w:w="2592"/>
            <w:shd w:fill="002060"/>
            <w:tcMar>
              <w:top w:w="100" w:type="dxa"/>
              <w:bottom w:w="100" w:type="dxa"/>
              <w:left w:w="100" w:type="dxa"/>
              <w:right w:w="100" w:type="dxa"/>
            </w:tcMar>
          </w:tcPr>
          <w:p>
            <w:pPr>
              <w:jc w:val="center"/>
            </w:pPr>
            <w:r>
              <w:rPr>
                <w:rFonts w:ascii="Times New Roman" w:hAnsi="Times New Roman"/>
                <w:b/>
                <w:color w:val="FFFFFF"/>
                <w:sz w:val="19"/>
              </w:rPr>
              <w:t>Category</w:t>
            </w:r>
          </w:p>
        </w:tc>
        <w:tc>
          <w:tcPr>
            <w:tcW w:type="dxa" w:w="3168"/>
            <w:shd w:fill="002060"/>
            <w:tcMar>
              <w:top w:w="100" w:type="dxa"/>
              <w:bottom w:w="100" w:type="dxa"/>
              <w:left w:w="100" w:type="dxa"/>
              <w:right w:w="100" w:type="dxa"/>
            </w:tcMar>
          </w:tcPr>
          <w:p>
            <w:pPr>
              <w:jc w:val="center"/>
            </w:pPr>
            <w:r>
              <w:rPr>
                <w:rFonts w:ascii="Times New Roman" w:hAnsi="Times New Roman"/>
                <w:b/>
                <w:color w:val="FFFFFF"/>
                <w:sz w:val="19"/>
              </w:rPr>
              <w:t>Software / Tool Name</w:t>
            </w:r>
          </w:p>
        </w:tc>
        <w:tc>
          <w:tcPr>
            <w:tcW w:type="dxa" w:w="4608"/>
            <w:shd w:fill="002060"/>
            <w:tcMar>
              <w:top w:w="100" w:type="dxa"/>
              <w:bottom w:w="100" w:type="dxa"/>
              <w:left w:w="100" w:type="dxa"/>
              <w:right w:w="100" w:type="dxa"/>
            </w:tcMar>
          </w:tcPr>
          <w:p>
            <w:pPr>
              <w:jc w:val="center"/>
            </w:pPr>
            <w:r>
              <w:rPr>
                <w:rFonts w:ascii="Times New Roman" w:hAnsi="Times New Roman"/>
                <w:b/>
                <w:color w:val="FFFFFF"/>
                <w:sz w:val="19"/>
              </w:rPr>
              <w:t>Version &amp; Purpose</w:t>
            </w:r>
          </w:p>
        </w:tc>
      </w:tr>
      <w:tr>
        <w:tc>
          <w:tcPr>
            <w:tcW w:type="dxa" w:w="2592"/>
            <w:shd w:fill="F9FAFC"/>
            <w:tcMar>
              <w:top w:w="80" w:type="dxa"/>
              <w:bottom w:w="80" w:type="dxa"/>
              <w:left w:w="100" w:type="dxa"/>
              <w:right w:w="100" w:type="dxa"/>
            </w:tcMar>
          </w:tcPr>
          <w:p>
            <w:pPr>
              <w:jc w:val="center"/>
            </w:pPr>
            <w:r>
              <w:rPr>
                <w:rFonts w:ascii="Times New Roman" w:hAnsi="Times New Roman"/>
                <w:sz w:val="18"/>
              </w:rPr>
              <w:t>Operating System</w:t>
            </w:r>
          </w:p>
        </w:tc>
        <w:tc>
          <w:tcPr>
            <w:tcW w:type="dxa" w:w="3168"/>
            <w:shd w:fill="F9FAFC"/>
            <w:tcMar>
              <w:top w:w="80" w:type="dxa"/>
              <w:bottom w:w="80" w:type="dxa"/>
              <w:left w:w="100" w:type="dxa"/>
              <w:right w:w="100" w:type="dxa"/>
            </w:tcMar>
          </w:tcPr>
          <w:p>
            <w:pPr>
              <w:jc w:val="left"/>
            </w:pPr>
            <w:r>
              <w:rPr>
                <w:rFonts w:ascii="Times New Roman" w:hAnsi="Times New Roman"/>
                <w:sz w:val="18"/>
              </w:rPr>
              <w:t>Microsoft Windows 10 / 11 / Linux (Ubuntu)</w:t>
            </w:r>
          </w:p>
        </w:tc>
        <w:tc>
          <w:tcPr>
            <w:tcW w:type="dxa" w:w="4608"/>
            <w:shd w:fill="F9FAFC"/>
            <w:tcMar>
              <w:top w:w="80" w:type="dxa"/>
              <w:bottom w:w="80" w:type="dxa"/>
              <w:left w:w="100" w:type="dxa"/>
              <w:right w:w="100" w:type="dxa"/>
            </w:tcMar>
          </w:tcPr>
          <w:p>
            <w:pPr>
              <w:jc w:val="left"/>
            </w:pPr>
            <w:r>
              <w:rPr>
                <w:rFonts w:ascii="Times New Roman" w:hAnsi="Times New Roman"/>
                <w:sz w:val="18"/>
              </w:rPr>
              <w:t>Primary development and deployment OS environment</w:t>
            </w:r>
          </w:p>
        </w:tc>
      </w:tr>
      <w:tr>
        <w:tc>
          <w:tcPr>
            <w:tcW w:type="dxa" w:w="2592"/>
            <w:tcMar>
              <w:top w:w="80" w:type="dxa"/>
              <w:bottom w:w="80" w:type="dxa"/>
              <w:left w:w="100" w:type="dxa"/>
              <w:right w:w="100" w:type="dxa"/>
            </w:tcMar>
          </w:tcPr>
          <w:p>
            <w:pPr>
              <w:jc w:val="center"/>
            </w:pPr>
            <w:r>
              <w:rPr>
                <w:rFonts w:ascii="Times New Roman" w:hAnsi="Times New Roman"/>
                <w:sz w:val="18"/>
              </w:rPr>
              <w:t>Programming Language</w:t>
            </w:r>
          </w:p>
        </w:tc>
        <w:tc>
          <w:tcPr>
            <w:tcW w:type="dxa" w:w="3168"/>
            <w:tcMar>
              <w:top w:w="80" w:type="dxa"/>
              <w:bottom w:w="80" w:type="dxa"/>
              <w:left w:w="100" w:type="dxa"/>
              <w:right w:w="100" w:type="dxa"/>
            </w:tcMar>
          </w:tcPr>
          <w:p>
            <w:pPr>
              <w:jc w:val="left"/>
            </w:pPr>
            <w:r>
              <w:rPr>
                <w:rFonts w:ascii="Times New Roman" w:hAnsi="Times New Roman"/>
                <w:sz w:val="18"/>
              </w:rPr>
              <w:t>Python</w:t>
            </w:r>
          </w:p>
        </w:tc>
        <w:tc>
          <w:tcPr>
            <w:tcW w:type="dxa" w:w="4608"/>
            <w:tcMar>
              <w:top w:w="80" w:type="dxa"/>
              <w:bottom w:w="80" w:type="dxa"/>
              <w:left w:w="100" w:type="dxa"/>
              <w:right w:w="100" w:type="dxa"/>
            </w:tcMar>
          </w:tcPr>
          <w:p>
            <w:pPr>
              <w:jc w:val="left"/>
            </w:pPr>
            <w:r>
              <w:rPr>
                <w:rFonts w:ascii="Times New Roman" w:hAnsi="Times New Roman"/>
                <w:sz w:val="18"/>
              </w:rPr>
              <w:t>Version 3.10+ (Core language for ML and backend scripting)</w:t>
            </w:r>
          </w:p>
        </w:tc>
      </w:tr>
      <w:tr>
        <w:tc>
          <w:tcPr>
            <w:tcW w:type="dxa" w:w="2592"/>
            <w:shd w:fill="F9FAFC"/>
            <w:tcMar>
              <w:top w:w="80" w:type="dxa"/>
              <w:bottom w:w="80" w:type="dxa"/>
              <w:left w:w="100" w:type="dxa"/>
              <w:right w:w="100" w:type="dxa"/>
            </w:tcMar>
          </w:tcPr>
          <w:p>
            <w:pPr>
              <w:jc w:val="center"/>
            </w:pPr>
            <w:r>
              <w:rPr>
                <w:rFonts w:ascii="Times New Roman" w:hAnsi="Times New Roman"/>
                <w:sz w:val="18"/>
              </w:rPr>
              <w:t>Machine Learning</w:t>
            </w:r>
          </w:p>
        </w:tc>
        <w:tc>
          <w:tcPr>
            <w:tcW w:type="dxa" w:w="3168"/>
            <w:shd w:fill="F9FAFC"/>
            <w:tcMar>
              <w:top w:w="80" w:type="dxa"/>
              <w:bottom w:w="80" w:type="dxa"/>
              <w:left w:w="100" w:type="dxa"/>
              <w:right w:w="100" w:type="dxa"/>
            </w:tcMar>
          </w:tcPr>
          <w:p>
            <w:pPr>
              <w:jc w:val="left"/>
            </w:pPr>
            <w:r>
              <w:rPr>
                <w:rFonts w:ascii="Times New Roman" w:hAnsi="Times New Roman"/>
                <w:sz w:val="18"/>
              </w:rPr>
              <w:t>Scikit-Learn, Joblib</w:t>
            </w:r>
          </w:p>
        </w:tc>
        <w:tc>
          <w:tcPr>
            <w:tcW w:type="dxa" w:w="4608"/>
            <w:shd w:fill="F9FAFC"/>
            <w:tcMar>
              <w:top w:w="80" w:type="dxa"/>
              <w:bottom w:w="80" w:type="dxa"/>
              <w:left w:w="100" w:type="dxa"/>
              <w:right w:w="100" w:type="dxa"/>
            </w:tcMar>
          </w:tcPr>
          <w:p>
            <w:pPr>
              <w:jc w:val="left"/>
            </w:pPr>
            <w:r>
              <w:rPr>
                <w:rFonts w:ascii="Times New Roman" w:hAnsi="Times New Roman"/>
                <w:sz w:val="18"/>
              </w:rPr>
              <w:t>Algorithm implementation (KNN), StandardScaler, serialization</w:t>
            </w:r>
          </w:p>
        </w:tc>
      </w:tr>
      <w:tr>
        <w:tc>
          <w:tcPr>
            <w:tcW w:type="dxa" w:w="2592"/>
            <w:tcMar>
              <w:top w:w="80" w:type="dxa"/>
              <w:bottom w:w="80" w:type="dxa"/>
              <w:left w:w="100" w:type="dxa"/>
              <w:right w:w="100" w:type="dxa"/>
            </w:tcMar>
          </w:tcPr>
          <w:p>
            <w:pPr>
              <w:jc w:val="center"/>
            </w:pPr>
            <w:r>
              <w:rPr>
                <w:rFonts w:ascii="Times New Roman" w:hAnsi="Times New Roman"/>
                <w:sz w:val="18"/>
              </w:rPr>
              <w:t>Data Manipulation</w:t>
            </w:r>
          </w:p>
        </w:tc>
        <w:tc>
          <w:tcPr>
            <w:tcW w:type="dxa" w:w="3168"/>
            <w:tcMar>
              <w:top w:w="80" w:type="dxa"/>
              <w:bottom w:w="80" w:type="dxa"/>
              <w:left w:w="100" w:type="dxa"/>
              <w:right w:w="100" w:type="dxa"/>
            </w:tcMar>
          </w:tcPr>
          <w:p>
            <w:pPr>
              <w:jc w:val="left"/>
            </w:pPr>
            <w:r>
              <w:rPr>
                <w:rFonts w:ascii="Times New Roman" w:hAnsi="Times New Roman"/>
                <w:sz w:val="18"/>
              </w:rPr>
              <w:t>Pandas, NumPy</w:t>
            </w:r>
          </w:p>
        </w:tc>
        <w:tc>
          <w:tcPr>
            <w:tcW w:type="dxa" w:w="4608"/>
            <w:tcMar>
              <w:top w:w="80" w:type="dxa"/>
              <w:bottom w:w="80" w:type="dxa"/>
              <w:left w:w="100" w:type="dxa"/>
              <w:right w:w="100" w:type="dxa"/>
            </w:tcMar>
          </w:tcPr>
          <w:p>
            <w:pPr>
              <w:jc w:val="left"/>
            </w:pPr>
            <w:r>
              <w:rPr>
                <w:rFonts w:ascii="Times New Roman" w:hAnsi="Times New Roman"/>
                <w:sz w:val="18"/>
              </w:rPr>
              <w:t>Dataset ingestion, cleaning, one-hot encoding, array handling</w:t>
            </w:r>
          </w:p>
        </w:tc>
      </w:tr>
      <w:tr>
        <w:tc>
          <w:tcPr>
            <w:tcW w:type="dxa" w:w="2592"/>
            <w:shd w:fill="F9FAFC"/>
            <w:tcMar>
              <w:top w:w="80" w:type="dxa"/>
              <w:bottom w:w="80" w:type="dxa"/>
              <w:left w:w="100" w:type="dxa"/>
              <w:right w:w="100" w:type="dxa"/>
            </w:tcMar>
          </w:tcPr>
          <w:p>
            <w:pPr>
              <w:jc w:val="center"/>
            </w:pPr>
            <w:r>
              <w:rPr>
                <w:rFonts w:ascii="Times New Roman" w:hAnsi="Times New Roman"/>
                <w:sz w:val="18"/>
              </w:rPr>
              <w:t>Web Framework / UI</w:t>
            </w:r>
          </w:p>
        </w:tc>
        <w:tc>
          <w:tcPr>
            <w:tcW w:type="dxa" w:w="3168"/>
            <w:shd w:fill="F9FAFC"/>
            <w:tcMar>
              <w:top w:w="80" w:type="dxa"/>
              <w:bottom w:w="80" w:type="dxa"/>
              <w:left w:w="100" w:type="dxa"/>
              <w:right w:w="100" w:type="dxa"/>
            </w:tcMar>
          </w:tcPr>
          <w:p>
            <w:pPr>
              <w:jc w:val="left"/>
            </w:pPr>
            <w:r>
              <w:rPr>
                <w:rFonts w:ascii="Times New Roman" w:hAnsi="Times New Roman"/>
                <w:sz w:val="18"/>
              </w:rPr>
              <w:t>Streamlit</w:t>
            </w:r>
          </w:p>
        </w:tc>
        <w:tc>
          <w:tcPr>
            <w:tcW w:type="dxa" w:w="4608"/>
            <w:shd w:fill="F9FAFC"/>
            <w:tcMar>
              <w:top w:w="80" w:type="dxa"/>
              <w:bottom w:w="80" w:type="dxa"/>
              <w:left w:w="100" w:type="dxa"/>
              <w:right w:w="100" w:type="dxa"/>
            </w:tcMar>
          </w:tcPr>
          <w:p>
            <w:pPr>
              <w:jc w:val="left"/>
            </w:pPr>
            <w:r>
              <w:rPr>
                <w:rFonts w:ascii="Times New Roman" w:hAnsi="Times New Roman"/>
                <w:sz w:val="18"/>
              </w:rPr>
              <w:t>Version 1.30+ (Interactive medical web interface)</w:t>
            </w:r>
          </w:p>
        </w:tc>
      </w:tr>
      <w:tr>
        <w:tc>
          <w:tcPr>
            <w:tcW w:type="dxa" w:w="2592"/>
            <w:tcMar>
              <w:top w:w="80" w:type="dxa"/>
              <w:bottom w:w="80" w:type="dxa"/>
              <w:left w:w="100" w:type="dxa"/>
              <w:right w:w="100" w:type="dxa"/>
            </w:tcMar>
          </w:tcPr>
          <w:p>
            <w:pPr>
              <w:jc w:val="center"/>
            </w:pPr>
            <w:r>
              <w:rPr>
                <w:rFonts w:ascii="Times New Roman" w:hAnsi="Times New Roman"/>
                <w:sz w:val="18"/>
              </w:rPr>
              <w:t>Development Tools</w:t>
            </w:r>
          </w:p>
        </w:tc>
        <w:tc>
          <w:tcPr>
            <w:tcW w:type="dxa" w:w="3168"/>
            <w:tcMar>
              <w:top w:w="80" w:type="dxa"/>
              <w:bottom w:w="80" w:type="dxa"/>
              <w:left w:w="100" w:type="dxa"/>
              <w:right w:w="100" w:type="dxa"/>
            </w:tcMar>
          </w:tcPr>
          <w:p>
            <w:pPr>
              <w:jc w:val="left"/>
            </w:pPr>
            <w:r>
              <w:rPr>
                <w:rFonts w:ascii="Times New Roman" w:hAnsi="Times New Roman"/>
                <w:sz w:val="18"/>
              </w:rPr>
              <w:t>VS Code / Jupyter Notebook / Git</w:t>
            </w:r>
          </w:p>
        </w:tc>
        <w:tc>
          <w:tcPr>
            <w:tcW w:type="dxa" w:w="4608"/>
            <w:tcMar>
              <w:top w:w="80" w:type="dxa"/>
              <w:bottom w:w="80" w:type="dxa"/>
              <w:left w:w="100" w:type="dxa"/>
              <w:right w:w="100" w:type="dxa"/>
            </w:tcMar>
          </w:tcPr>
          <w:p>
            <w:pPr>
              <w:jc w:val="left"/>
            </w:pPr>
            <w:r>
              <w:rPr>
                <w:rFonts w:ascii="Times New Roman" w:hAnsi="Times New Roman"/>
                <w:sz w:val="18"/>
              </w:rPr>
              <w:t>Source code editing, prototyping, and GitHub version control</w:t>
            </w:r>
          </w:p>
        </w:tc>
      </w:tr>
    </w:tbl>
    <w:p>
      <w:pPr>
        <w:keepNext/>
        <w:spacing w:before="200" w:after="80" w:line="360" w:lineRule="auto"/>
      </w:pPr>
      <w:r>
        <w:rPr>
          <w:rFonts w:ascii="Times New Roman" w:hAnsi="Times New Roman"/>
          <w:b/>
          <w:color w:val="1B365D"/>
          <w:sz w:val="26"/>
        </w:rPr>
        <w:t>6.2 Hardware Requirements</w:t>
      </w:r>
    </w:p>
    <w:tbl>
      <w:tblPr>
        <w:tblW w:type="auto" w:w="0"/>
        <w:jc w:val="center"/>
        <w:tblLayout w:type="fixed"/>
        <w:tblLook w:firstColumn="1" w:firstRow="1" w:lastColumn="0" w:lastRow="0" w:noHBand="0" w:noVBand="1" w:val="04A0"/>
        <w:tblBorders>
          <w:top w:val="single" w:sz="6" w:space="0" w:color="002060"/>
          <w:bottom w:val="single" w:sz="6" w:space="0" w:color="002060"/>
          <w:insideH w:val="single" w:sz="4" w:space="0" w:color="D3D3D3"/>
          <w:insideV w:val="none"/>
          <w:left w:val="none"/>
          <w:right w:val="none"/>
        </w:tblBorders>
      </w:tblPr>
      <w:tblGrid>
        <w:gridCol w:w="3261"/>
        <w:gridCol w:w="3261"/>
        <w:gridCol w:w="3261"/>
      </w:tblGrid>
      <w:tr>
        <w:tc>
          <w:tcPr>
            <w:tcW w:type="dxa" w:w="2880"/>
            <w:shd w:fill="002060"/>
            <w:tcMar>
              <w:top w:w="100" w:type="dxa"/>
              <w:bottom w:w="100" w:type="dxa"/>
              <w:left w:w="100" w:type="dxa"/>
              <w:right w:w="100" w:type="dxa"/>
            </w:tcMar>
          </w:tcPr>
          <w:p>
            <w:pPr>
              <w:jc w:val="center"/>
            </w:pPr>
            <w:r>
              <w:rPr>
                <w:rFonts w:ascii="Times New Roman" w:hAnsi="Times New Roman"/>
                <w:b/>
                <w:color w:val="FFFFFF"/>
                <w:sz w:val="19"/>
              </w:rPr>
              <w:t>Component</w:t>
            </w:r>
          </w:p>
        </w:tc>
        <w:tc>
          <w:tcPr>
            <w:tcW w:type="dxa" w:w="3600"/>
            <w:shd w:fill="002060"/>
            <w:tcMar>
              <w:top w:w="100" w:type="dxa"/>
              <w:bottom w:w="100" w:type="dxa"/>
              <w:left w:w="100" w:type="dxa"/>
              <w:right w:w="100" w:type="dxa"/>
            </w:tcMar>
          </w:tcPr>
          <w:p>
            <w:pPr>
              <w:jc w:val="center"/>
            </w:pPr>
            <w:r>
              <w:rPr>
                <w:rFonts w:ascii="Times New Roman" w:hAnsi="Times New Roman"/>
                <w:b/>
                <w:color w:val="FFFFFF"/>
                <w:sz w:val="19"/>
              </w:rPr>
              <w:t>Minimum Specification</w:t>
            </w:r>
          </w:p>
        </w:tc>
        <w:tc>
          <w:tcPr>
            <w:tcW w:type="dxa" w:w="3888"/>
            <w:shd w:fill="002060"/>
            <w:tcMar>
              <w:top w:w="100" w:type="dxa"/>
              <w:bottom w:w="100" w:type="dxa"/>
              <w:left w:w="100" w:type="dxa"/>
              <w:right w:w="100" w:type="dxa"/>
            </w:tcMar>
          </w:tcPr>
          <w:p>
            <w:pPr>
              <w:jc w:val="center"/>
            </w:pPr>
            <w:r>
              <w:rPr>
                <w:rFonts w:ascii="Times New Roman" w:hAnsi="Times New Roman"/>
                <w:b/>
                <w:color w:val="FFFFFF"/>
                <w:sz w:val="19"/>
              </w:rPr>
              <w:t>Recommended Specification</w:t>
            </w:r>
          </w:p>
        </w:tc>
      </w:tr>
      <w:tr>
        <w:tc>
          <w:tcPr>
            <w:tcW w:type="dxa" w:w="2880"/>
            <w:shd w:fill="F9FAFC"/>
            <w:tcMar>
              <w:top w:w="80" w:type="dxa"/>
              <w:bottom w:w="80" w:type="dxa"/>
              <w:left w:w="100" w:type="dxa"/>
              <w:right w:w="100" w:type="dxa"/>
            </w:tcMar>
          </w:tcPr>
          <w:p>
            <w:pPr>
              <w:jc w:val="center"/>
            </w:pPr>
            <w:r>
              <w:rPr>
                <w:rFonts w:ascii="Times New Roman" w:hAnsi="Times New Roman"/>
                <w:sz w:val="18"/>
              </w:rPr>
              <w:t>Processor (CPU)</w:t>
            </w:r>
          </w:p>
        </w:tc>
        <w:tc>
          <w:tcPr>
            <w:tcW w:type="dxa" w:w="3600"/>
            <w:shd w:fill="F9FAFC"/>
            <w:tcMar>
              <w:top w:w="80" w:type="dxa"/>
              <w:bottom w:w="80" w:type="dxa"/>
              <w:left w:w="100" w:type="dxa"/>
              <w:right w:w="100" w:type="dxa"/>
            </w:tcMar>
          </w:tcPr>
          <w:p>
            <w:pPr>
              <w:jc w:val="left"/>
            </w:pPr>
            <w:r>
              <w:rPr>
                <w:rFonts w:ascii="Times New Roman" w:hAnsi="Times New Roman"/>
                <w:sz w:val="18"/>
              </w:rPr>
              <w:t>Intel Core i3 / AMD Ryzen 3 (2.4 GHz)</w:t>
            </w:r>
          </w:p>
        </w:tc>
        <w:tc>
          <w:tcPr>
            <w:tcW w:type="dxa" w:w="3888"/>
            <w:shd w:fill="F9FAFC"/>
            <w:tcMar>
              <w:top w:w="80" w:type="dxa"/>
              <w:bottom w:w="80" w:type="dxa"/>
              <w:left w:w="100" w:type="dxa"/>
              <w:right w:w="100" w:type="dxa"/>
            </w:tcMar>
          </w:tcPr>
          <w:p>
            <w:pPr>
              <w:jc w:val="left"/>
            </w:pPr>
            <w:r>
              <w:rPr>
                <w:rFonts w:ascii="Times New Roman" w:hAnsi="Times New Roman"/>
                <w:sz w:val="18"/>
              </w:rPr>
              <w:t>Intel Core i5 / i7 or AMD Ryzen 5+ (3.0 GHz+)</w:t>
            </w:r>
          </w:p>
        </w:tc>
      </w:tr>
      <w:tr>
        <w:tc>
          <w:tcPr>
            <w:tcW w:type="dxa" w:w="2880"/>
            <w:tcMar>
              <w:top w:w="80" w:type="dxa"/>
              <w:bottom w:w="80" w:type="dxa"/>
              <w:left w:w="100" w:type="dxa"/>
              <w:right w:w="100" w:type="dxa"/>
            </w:tcMar>
          </w:tcPr>
          <w:p>
            <w:pPr>
              <w:jc w:val="center"/>
            </w:pPr>
            <w:r>
              <w:rPr>
                <w:rFonts w:ascii="Times New Roman" w:hAnsi="Times New Roman"/>
                <w:sz w:val="18"/>
              </w:rPr>
              <w:t>System Memory (RAM)</w:t>
            </w:r>
          </w:p>
        </w:tc>
        <w:tc>
          <w:tcPr>
            <w:tcW w:type="dxa" w:w="3600"/>
            <w:tcMar>
              <w:top w:w="80" w:type="dxa"/>
              <w:bottom w:w="80" w:type="dxa"/>
              <w:left w:w="100" w:type="dxa"/>
              <w:right w:w="100" w:type="dxa"/>
            </w:tcMar>
          </w:tcPr>
          <w:p>
            <w:pPr>
              <w:jc w:val="left"/>
            </w:pPr>
            <w:r>
              <w:rPr>
                <w:rFonts w:ascii="Times New Roman" w:hAnsi="Times New Roman"/>
                <w:sz w:val="18"/>
              </w:rPr>
              <w:t>4 GB DDR4</w:t>
            </w:r>
          </w:p>
        </w:tc>
        <w:tc>
          <w:tcPr>
            <w:tcW w:type="dxa" w:w="3888"/>
            <w:tcMar>
              <w:top w:w="80" w:type="dxa"/>
              <w:bottom w:w="80" w:type="dxa"/>
              <w:left w:w="100" w:type="dxa"/>
              <w:right w:w="100" w:type="dxa"/>
            </w:tcMar>
          </w:tcPr>
          <w:p>
            <w:pPr>
              <w:jc w:val="left"/>
            </w:pPr>
            <w:r>
              <w:rPr>
                <w:rFonts w:ascii="Times New Roman" w:hAnsi="Times New Roman"/>
                <w:sz w:val="18"/>
              </w:rPr>
              <w:t>8 GB / 16 GB DDR4/DDR5</w:t>
            </w:r>
          </w:p>
        </w:tc>
      </w:tr>
      <w:tr>
        <w:tc>
          <w:tcPr>
            <w:tcW w:type="dxa" w:w="2880"/>
            <w:shd w:fill="F9FAFC"/>
            <w:tcMar>
              <w:top w:w="80" w:type="dxa"/>
              <w:bottom w:w="80" w:type="dxa"/>
              <w:left w:w="100" w:type="dxa"/>
              <w:right w:w="100" w:type="dxa"/>
            </w:tcMar>
          </w:tcPr>
          <w:p>
            <w:pPr>
              <w:jc w:val="center"/>
            </w:pPr>
            <w:r>
              <w:rPr>
                <w:rFonts w:ascii="Times New Roman" w:hAnsi="Times New Roman"/>
                <w:sz w:val="18"/>
              </w:rPr>
              <w:t>Storage Drive</w:t>
            </w:r>
          </w:p>
        </w:tc>
        <w:tc>
          <w:tcPr>
            <w:tcW w:type="dxa" w:w="3600"/>
            <w:shd w:fill="F9FAFC"/>
            <w:tcMar>
              <w:top w:w="80" w:type="dxa"/>
              <w:bottom w:w="80" w:type="dxa"/>
              <w:left w:w="100" w:type="dxa"/>
              <w:right w:w="100" w:type="dxa"/>
            </w:tcMar>
          </w:tcPr>
          <w:p>
            <w:pPr>
              <w:jc w:val="left"/>
            </w:pPr>
            <w:r>
              <w:rPr>
                <w:rFonts w:ascii="Times New Roman" w:hAnsi="Times New Roman"/>
                <w:sz w:val="18"/>
              </w:rPr>
              <w:t>128 GB HDD</w:t>
            </w:r>
          </w:p>
        </w:tc>
        <w:tc>
          <w:tcPr>
            <w:tcW w:type="dxa" w:w="3888"/>
            <w:shd w:fill="F9FAFC"/>
            <w:tcMar>
              <w:top w:w="80" w:type="dxa"/>
              <w:bottom w:w="80" w:type="dxa"/>
              <w:left w:w="100" w:type="dxa"/>
              <w:right w:w="100" w:type="dxa"/>
            </w:tcMar>
          </w:tcPr>
          <w:p>
            <w:pPr>
              <w:jc w:val="left"/>
            </w:pPr>
            <w:r>
              <w:rPr>
                <w:rFonts w:ascii="Times New Roman" w:hAnsi="Times New Roman"/>
                <w:sz w:val="18"/>
              </w:rPr>
              <w:t>256 GB / 512 GB NVMe SSD</w:t>
            </w:r>
          </w:p>
        </w:tc>
      </w:tr>
      <w:tr>
        <w:tc>
          <w:tcPr>
            <w:tcW w:type="dxa" w:w="2880"/>
            <w:tcMar>
              <w:top w:w="80" w:type="dxa"/>
              <w:bottom w:w="80" w:type="dxa"/>
              <w:left w:w="100" w:type="dxa"/>
              <w:right w:w="100" w:type="dxa"/>
            </w:tcMar>
          </w:tcPr>
          <w:p>
            <w:pPr>
              <w:jc w:val="center"/>
            </w:pPr>
            <w:r>
              <w:rPr>
                <w:rFonts w:ascii="Times New Roman" w:hAnsi="Times New Roman"/>
                <w:sz w:val="18"/>
              </w:rPr>
              <w:t>Display Monitor</w:t>
            </w:r>
          </w:p>
        </w:tc>
        <w:tc>
          <w:tcPr>
            <w:tcW w:type="dxa" w:w="3600"/>
            <w:tcMar>
              <w:top w:w="80" w:type="dxa"/>
              <w:bottom w:w="80" w:type="dxa"/>
              <w:left w:w="100" w:type="dxa"/>
              <w:right w:w="100" w:type="dxa"/>
            </w:tcMar>
          </w:tcPr>
          <w:p>
            <w:pPr>
              <w:jc w:val="left"/>
            </w:pPr>
            <w:r>
              <w:rPr>
                <w:rFonts w:ascii="Times New Roman" w:hAnsi="Times New Roman"/>
                <w:sz w:val="18"/>
              </w:rPr>
              <w:t>1366 x 768 Resolution</w:t>
            </w:r>
          </w:p>
        </w:tc>
        <w:tc>
          <w:tcPr>
            <w:tcW w:type="dxa" w:w="3888"/>
            <w:tcMar>
              <w:top w:w="80" w:type="dxa"/>
              <w:bottom w:w="80" w:type="dxa"/>
              <w:left w:w="100" w:type="dxa"/>
              <w:right w:w="100" w:type="dxa"/>
            </w:tcMar>
          </w:tcPr>
          <w:p>
            <w:pPr>
              <w:jc w:val="left"/>
            </w:pPr>
            <w:r>
              <w:rPr>
                <w:rFonts w:ascii="Times New Roman" w:hAnsi="Times New Roman"/>
                <w:sz w:val="18"/>
              </w:rPr>
              <w:t>1920 x 1080 (Full HD IPS Display)</w:t>
            </w:r>
          </w:p>
        </w:tc>
      </w:tr>
      <w:tr>
        <w:tc>
          <w:tcPr>
            <w:tcW w:type="dxa" w:w="2880"/>
            <w:shd w:fill="F9FAFC"/>
            <w:tcMar>
              <w:top w:w="80" w:type="dxa"/>
              <w:bottom w:w="80" w:type="dxa"/>
              <w:left w:w="100" w:type="dxa"/>
              <w:right w:w="100" w:type="dxa"/>
            </w:tcMar>
          </w:tcPr>
          <w:p>
            <w:pPr>
              <w:jc w:val="center"/>
            </w:pPr>
            <w:r>
              <w:rPr>
                <w:rFonts w:ascii="Times New Roman" w:hAnsi="Times New Roman"/>
                <w:sz w:val="18"/>
              </w:rPr>
              <w:t>Network Interface</w:t>
            </w:r>
          </w:p>
        </w:tc>
        <w:tc>
          <w:tcPr>
            <w:tcW w:type="dxa" w:w="3600"/>
            <w:shd w:fill="F9FAFC"/>
            <w:tcMar>
              <w:top w:w="80" w:type="dxa"/>
              <w:bottom w:w="80" w:type="dxa"/>
              <w:left w:w="100" w:type="dxa"/>
              <w:right w:w="100" w:type="dxa"/>
            </w:tcMar>
          </w:tcPr>
          <w:p>
            <w:pPr>
              <w:jc w:val="left"/>
            </w:pPr>
            <w:r>
              <w:rPr>
                <w:rFonts w:ascii="Times New Roman" w:hAnsi="Times New Roman"/>
                <w:sz w:val="18"/>
              </w:rPr>
              <w:t>Standard Wi-Fi / LAN Card</w:t>
            </w:r>
          </w:p>
        </w:tc>
        <w:tc>
          <w:tcPr>
            <w:tcW w:type="dxa" w:w="3888"/>
            <w:shd w:fill="F9FAFC"/>
            <w:tcMar>
              <w:top w:w="80" w:type="dxa"/>
              <w:bottom w:w="80" w:type="dxa"/>
              <w:left w:w="100" w:type="dxa"/>
              <w:right w:w="100" w:type="dxa"/>
            </w:tcMar>
          </w:tcPr>
          <w:p>
            <w:pPr>
              <w:jc w:val="left"/>
            </w:pPr>
            <w:r>
              <w:rPr>
                <w:rFonts w:ascii="Times New Roman" w:hAnsi="Times New Roman"/>
                <w:sz w:val="18"/>
              </w:rPr>
              <w:t>High-Speed Broadband Internet Connection</w:t>
            </w:r>
          </w:p>
        </w:tc>
      </w:tr>
    </w:tbl>
    <w:p>
      <w:r>
        <w:br w:type="page"/>
      </w:r>
    </w:p>
    <w:p>
      <w:pPr>
        <w:keepNext/>
        <w:spacing w:before="280" w:after="120" w:line="360" w:lineRule="auto"/>
      </w:pPr>
      <w:r>
        <w:rPr>
          <w:rFonts w:ascii="Times New Roman" w:hAnsi="Times New Roman"/>
          <w:b/>
          <w:color w:val="002060"/>
          <w:sz w:val="30"/>
        </w:rPr>
        <w:t>7. REFERENCES</w:t>
      </w:r>
    </w:p>
    <w:p>
      <w:pPr>
        <w:spacing w:before="0" w:after="120" w:line="360" w:lineRule="auto"/>
        <w:jc w:val="both"/>
      </w:pPr>
      <w:r>
        <w:t>All scholarly publications, journals, and authoritative technical resources referenced during the conceptualization and development of this project are cited below according to the IEEE standard format:</w:t>
      </w:r>
    </w:p>
    <w:p>
      <w:pPr>
        <w:spacing w:before="0" w:after="160" w:line="360" w:lineRule="auto"/>
        <w:jc w:val="both"/>
      </w:pPr>
      <w:r>
        <w:rPr>
          <w:rFonts w:ascii="Times New Roman" w:hAnsi="Times New Roman"/>
          <w:sz w:val="20"/>
        </w:rPr>
        <w:t>[1] R. Sharma and S. Bandil, "Heart Disease Prediction Using Machine Learning Algorithms and Feature Selection Techniques," in Proceedings of the IEEE International Conference on Computing, Communication and Networking Technologies (ICCCNT), pp. 1–6, 2022.</w:t>
      </w:r>
    </w:p>
    <w:p>
      <w:pPr>
        <w:spacing w:before="0" w:after="160" w:line="360" w:lineRule="auto"/>
        <w:jc w:val="both"/>
      </w:pPr>
      <w:r>
        <w:rPr>
          <w:rFonts w:ascii="Times New Roman" w:hAnsi="Times New Roman"/>
          <w:sz w:val="20"/>
        </w:rPr>
        <w:t>[2] A. Mohan, B. S. Raman, and K. S. Babu, "Effective Heart Disease Prediction Using Hybrid Machine Learning Techniques," IEEE Access, vol. 9, pp. 81504–81515, 2021.</w:t>
      </w:r>
    </w:p>
    <w:p>
      <w:pPr>
        <w:spacing w:before="0" w:after="160" w:line="360" w:lineRule="auto"/>
        <w:jc w:val="both"/>
      </w:pPr>
      <w:r>
        <w:rPr>
          <w:rFonts w:ascii="Times New Roman" w:hAnsi="Times New Roman"/>
          <w:sz w:val="20"/>
        </w:rPr>
        <w:t>[3] P. Ghosh, D. Azam, M. Jonkman, and S. Karim, "Efficient Prediction of Cardiovascular Disease Using Machine Learning Classifiers with Distance Metric Tuning," Elsevier Biomedical Signal Processing and Control, vol. 84, pp. 104758, 2023.</w:t>
      </w:r>
    </w:p>
    <w:p>
      <w:pPr>
        <w:spacing w:before="0" w:after="160" w:line="360" w:lineRule="auto"/>
        <w:jc w:val="both"/>
      </w:pPr>
      <w:r>
        <w:rPr>
          <w:rFonts w:ascii="Times New Roman" w:hAnsi="Times New Roman"/>
          <w:sz w:val="20"/>
        </w:rPr>
        <w:t>[4] K. Polaraju and D. Durga, "Prediction of Heart Disease Using Machine Learning Techniques: A Decision Support Framework," Springer SN Computer Science, vol. 1, no. 4, pp. 210–220, 2020.</w:t>
      </w:r>
    </w:p>
    <w:p>
      <w:pPr>
        <w:spacing w:before="0" w:after="160" w:line="360" w:lineRule="auto"/>
        <w:jc w:val="both"/>
      </w:pPr>
      <w:r>
        <w:rPr>
          <w:rFonts w:ascii="Times New Roman" w:hAnsi="Times New Roman"/>
          <w:sz w:val="20"/>
        </w:rPr>
        <w:t>[5] World Health Organization (WHO), "Cardiovascular Diseases (CVDs) Factsheet," Geneva, Switzerland: World Health Organization, 2023. [Online]. Available: https://www.who.int/news-room/fact-sheets/detail/cardiovascular-diseases-(cvds)</w:t>
      </w:r>
    </w:p>
    <w:p>
      <w:pPr>
        <w:spacing w:before="0" w:after="160" w:line="360" w:lineRule="auto"/>
        <w:jc w:val="both"/>
      </w:pPr>
      <w:r>
        <w:rPr>
          <w:rFonts w:ascii="Times New Roman" w:hAnsi="Times New Roman"/>
          <w:sz w:val="20"/>
        </w:rPr>
        <w:t>[6] F. Pedregosa et al., "Scikit-learn: Machine Learning in Python," Journal of Machine Learning Research (JMLR), vol. 12, pp. 2825–2830, 2011.</w:t>
      </w:r>
    </w:p>
    <w:p>
      <w:pPr>
        <w:spacing w:before="0" w:after="160" w:line="360" w:lineRule="auto"/>
        <w:jc w:val="both"/>
      </w:pPr>
      <w:r>
        <w:rPr>
          <w:rFonts w:ascii="Times New Roman" w:hAnsi="Times New Roman"/>
          <w:sz w:val="20"/>
        </w:rPr>
        <w:t>[7] A. Trevisani, Streamlit: The Comprehensive Guide to Rapid Data Web Application Development in Python, New York: O'Reilly Media, 2023.</w:t>
      </w:r>
    </w:p>
    <w:p>
      <w:pPr>
        <w:spacing w:before="0" w:after="160" w:line="360" w:lineRule="auto"/>
        <w:jc w:val="both"/>
      </w:pPr>
      <w:r>
        <w:rPr>
          <w:rFonts w:ascii="Times New Roman" w:hAnsi="Times New Roman"/>
          <w:sz w:val="20"/>
        </w:rPr>
        <w:t>[8] UC Irvine Machine Learning Repository, "Heart Disease Dataset," Center for Machine Learning and Intelligent Systems, University of California, Irvine, 2020. [Online]. Available: https://archive.uci.edu/ml/datasets/heart+disease</w:t>
      </w:r>
    </w:p>
    <w:sectPr w:rsidR="00FC693F" w:rsidRPr="0006063C" w:rsidSect="00034616">
      <w:pgSz w:w="11909" w:h="16834"/>
      <w:pgMar w:top="1417" w:right="709" w:bottom="709"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