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4F46E5"/>
          <w:sz w:val="30"/>
        </w:rPr>
        <w:t>MOMENTRA</w:t>
      </w:r>
    </w:p>
    <w:p>
      <w:pPr>
        <w:jc w:val="center"/>
      </w:pPr>
      <w:r>
        <w:rPr>
          <w:b/>
          <w:color w:val="1E1B4B"/>
          <w:sz w:val="54"/>
        </w:rPr>
        <w:t>Backend, Runtime &amp; Deployment Architecture</w:t>
      </w:r>
    </w:p>
    <w:p>
      <w:pPr>
        <w:jc w:val="center"/>
      </w:pPr>
      <w:r>
        <w:rPr>
          <w:color w:val="475569"/>
          <w:sz w:val="26"/>
        </w:rPr>
        <w:t>Deployment baseline for TypeScript/Node.js + FastAPI + Supabase PostgreSQL</w:t>
      </w:r>
    </w:p>
    <w:p>
      <w:pPr>
        <w:spacing w:before="560"/>
        <w:jc w:val="center"/>
      </w:pPr>
      <w:r>
        <w:rPr>
          <w:color w:val="64748B"/>
          <w:sz w:val="20"/>
        </w:rPr>
        <w:t>Architecture status: Deployment baseline</w:t>
        <w:br/>
        <w:t>Database release status: PRE-RC until Phase 11.8 dry run and remaining seed semantics are closed</w:t>
      </w:r>
    </w:p>
    <w:tbl>
      <w:tblPr>
        <w:tblW w:type="auto" w:w="0"/>
        <w:jc w:val="center"/>
        <w:tblLook w:firstColumn="1" w:firstRow="1" w:lastColumn="0" w:lastRow="0" w:noHBand="0" w:noVBand="1" w:val="04A0"/>
      </w:tblPr>
      <w:tblGrid>
        <w:gridCol w:w="10080"/>
      </w:tblGrid>
      <w:tr>
        <w:tc>
          <w:tcPr>
            <w:tcW w:type="dxa" w:w="10080"/>
            <w:shd w:fill="E0E7FF"/>
            <w:tcMar>
              <w:top w:w="140" w:type="dxa"/>
              <w:start w:w="160" w:type="dxa"/>
              <w:bottom w:w="140" w:type="dxa"/>
              <w:end w:w="160" w:type="dxa"/>
            </w:tcMar>
          </w:tcPr>
          <w:p>
            <w:r>
              <w:rPr>
                <w:b/>
                <w:color w:val="312E81"/>
                <w:sz w:val="21"/>
              </w:rPr>
              <w:t>Architecture decision</w:t>
              <w:br/>
            </w:r>
            <w:r>
              <w:rPr>
                <w:sz w:val="20"/>
              </w:rPr>
              <w:t>Use a hybrid service architecture, not a hybrid source-of-truth architecture. TypeScript/Node.js owns the synchronous application and transaction path; FastAPI/Python owns AI, analytics and computational workers; Supabase PostgreSQL remains the single canonical database; projection tables serve low-latency UI reads.</w:t>
            </w:r>
          </w:p>
        </w:tc>
      </w:tr>
    </w:tbl>
    <w:p>
      <w:pPr>
        <w:spacing w:after="0"/>
      </w:pPr>
    </w:p>
    <w:p>
      <w:r>
        <w:br w:type="page"/>
      </w:r>
    </w:p>
    <w:p>
      <w:pPr>
        <w:pStyle w:val="Heading1"/>
        <w:keepNext/>
      </w:pPr>
      <w:r>
        <w:t>1. Executive Architecture Decision</w:t>
      </w:r>
    </w:p>
    <w:p>
      <w:r>
        <w:t>Momentra should deploy with a TypeScript/Node.js main API/BFF as the synchronous application layer, FastAPI/Python services for AI and analytics-heavy workloads, and Supabase PostgreSQL as the single canonical source of truth. The architecture deliberately avoids introducing MongoDB as a second primary database at this stage.</w:t>
      </w:r>
    </w:p>
    <w:tbl>
      <w:tblPr>
        <w:tblW w:type="auto" w:w="0"/>
        <w:jc w:val="center"/>
        <w:tblLayout w:type="fixed"/>
        <w:tblLook w:firstColumn="1" w:firstRow="1" w:lastColumn="0" w:lastRow="0" w:noHBand="0" w:noVBand="1" w:val="04A0"/>
      </w:tblPr>
      <w:tblGrid>
        <w:gridCol w:w="3360"/>
        <w:gridCol w:w="3360"/>
        <w:gridCol w:w="3360"/>
      </w:tblGrid>
      <w:tr>
        <w:tc>
          <w:tcPr>
            <w:tcW w:type="dxa" w:w="2232"/>
            <w:vAlign w:val="center"/>
            <w:tcMar>
              <w:top w:w="100" w:type="dxa"/>
              <w:start w:w="120" w:type="dxa"/>
              <w:bottom w:w="100" w:type="dxa"/>
              <w:end w:w="120" w:type="dxa"/>
            </w:tcMar>
            <w:shd w:fill="312E81"/>
          </w:tcPr>
          <w:p>
            <w:pPr>
              <w:spacing w:after="0" w:before="0"/>
            </w:pPr>
            <w:r>
              <w:rPr>
                <w:rFonts w:ascii="Aptos" w:hAnsi="Aptos"/>
                <w:b/>
                <w:color w:val="FFFFFF"/>
                <w:sz w:val="18"/>
              </w:rPr>
              <w:t>Layer</w:t>
            </w:r>
          </w:p>
        </w:tc>
        <w:tc>
          <w:tcPr>
            <w:tcW w:type="dxa" w:w="2448"/>
            <w:vAlign w:val="center"/>
            <w:tcMar>
              <w:top w:w="100" w:type="dxa"/>
              <w:start w:w="120" w:type="dxa"/>
              <w:bottom w:w="100" w:type="dxa"/>
              <w:end w:w="120" w:type="dxa"/>
            </w:tcMar>
            <w:shd w:fill="312E81"/>
          </w:tcPr>
          <w:p>
            <w:pPr>
              <w:spacing w:after="0" w:before="0"/>
            </w:pPr>
            <w:r>
              <w:rPr>
                <w:rFonts w:ascii="Aptos" w:hAnsi="Aptos"/>
                <w:b/>
                <w:color w:val="FFFFFF"/>
                <w:sz w:val="18"/>
              </w:rPr>
              <w:t>Technology</w:t>
            </w:r>
          </w:p>
        </w:tc>
        <w:tc>
          <w:tcPr>
            <w:tcW w:type="dxa" w:w="5400"/>
            <w:vAlign w:val="center"/>
            <w:tcMar>
              <w:top w:w="100" w:type="dxa"/>
              <w:start w:w="120" w:type="dxa"/>
              <w:bottom w:w="100" w:type="dxa"/>
              <w:end w:w="120" w:type="dxa"/>
            </w:tcMar>
            <w:shd w:fill="312E81"/>
          </w:tcPr>
          <w:p>
            <w:pPr>
              <w:spacing w:after="0" w:before="0"/>
            </w:pPr>
            <w:r>
              <w:rPr>
                <w:rFonts w:ascii="Aptos" w:hAnsi="Aptos"/>
                <w:b/>
                <w:color w:val="FFFFFF"/>
                <w:sz w:val="18"/>
              </w:rPr>
              <w:t>Primary responsibility</w:t>
            </w:r>
          </w:p>
        </w:tc>
      </w:tr>
      <w:tr>
        <w:tc>
          <w:tcPr>
            <w:tcW w:type="dxa" w:w="2232"/>
            <w:vAlign w:val="center"/>
            <w:tcMar>
              <w:top w:w="100" w:type="dxa"/>
              <w:start w:w="120" w:type="dxa"/>
              <w:bottom w:w="100" w:type="dxa"/>
              <w:end w:w="120" w:type="dxa"/>
            </w:tcMar>
          </w:tcPr>
          <w:p>
            <w:pPr>
              <w:spacing w:after="0" w:before="0"/>
            </w:pPr>
            <w:r>
              <w:rPr>
                <w:rFonts w:ascii="Aptos" w:hAnsi="Aptos"/>
                <w:b/>
                <w:color w:val="312E81"/>
                <w:sz w:val="18"/>
              </w:rPr>
              <w:t>Main API / BFF</w:t>
            </w:r>
          </w:p>
        </w:tc>
        <w:tc>
          <w:tcPr>
            <w:tcW w:type="dxa" w:w="2448"/>
            <w:vAlign w:val="center"/>
            <w:tcMar>
              <w:top w:w="100" w:type="dxa"/>
              <w:start w:w="120" w:type="dxa"/>
              <w:bottom w:w="100" w:type="dxa"/>
              <w:end w:w="120" w:type="dxa"/>
            </w:tcMar>
          </w:tcPr>
          <w:p>
            <w:pPr>
              <w:spacing w:after="0" w:before="0"/>
            </w:pPr>
            <w:r>
              <w:rPr>
                <w:rFonts w:ascii="Aptos" w:hAnsi="Aptos"/>
                <w:sz w:val="18"/>
              </w:rPr>
              <w:t>TypeScript / Node.js</w:t>
            </w:r>
          </w:p>
        </w:tc>
        <w:tc>
          <w:tcPr>
            <w:tcW w:type="dxa" w:w="5400"/>
            <w:vAlign w:val="center"/>
            <w:tcMar>
              <w:top w:w="100" w:type="dxa"/>
              <w:start w:w="120" w:type="dxa"/>
              <w:bottom w:w="100" w:type="dxa"/>
              <w:end w:w="120" w:type="dxa"/>
            </w:tcMar>
          </w:tcPr>
          <w:p>
            <w:pPr>
              <w:spacing w:after="0" w:before="0"/>
            </w:pPr>
            <w:r>
              <w:rPr>
                <w:rFonts w:ascii="Aptos" w:hAnsi="Aptos"/>
                <w:sz w:val="18"/>
              </w:rPr>
              <w:t>Authentication, Moment APIs, Finance commands, Governance, orchestration, projection reads, transactional writes</w:t>
            </w:r>
          </w:p>
        </w:tc>
      </w:tr>
      <w:tr>
        <w:tc>
          <w:tcPr>
            <w:tcW w:type="dxa" w:w="2232"/>
            <w:vAlign w:val="center"/>
            <w:tcMar>
              <w:top w:w="100" w:type="dxa"/>
              <w:start w:w="120" w:type="dxa"/>
              <w:bottom w:w="100" w:type="dxa"/>
              <w:end w:w="120" w:type="dxa"/>
            </w:tcMar>
          </w:tcPr>
          <w:p>
            <w:pPr>
              <w:spacing w:after="0" w:before="0"/>
            </w:pPr>
            <w:r>
              <w:rPr>
                <w:rFonts w:ascii="Aptos" w:hAnsi="Aptos"/>
                <w:b/>
                <w:color w:val="312E81"/>
                <w:sz w:val="18"/>
              </w:rPr>
              <w:t>AI &amp; advanced analytics</w:t>
            </w:r>
          </w:p>
        </w:tc>
        <w:tc>
          <w:tcPr>
            <w:tcW w:type="dxa" w:w="2448"/>
            <w:vAlign w:val="center"/>
            <w:tcMar>
              <w:top w:w="100" w:type="dxa"/>
              <w:start w:w="120" w:type="dxa"/>
              <w:bottom w:w="100" w:type="dxa"/>
              <w:end w:w="120" w:type="dxa"/>
            </w:tcMar>
          </w:tcPr>
          <w:p>
            <w:pPr>
              <w:spacing w:after="0" w:before="0"/>
            </w:pPr>
            <w:r>
              <w:rPr>
                <w:rFonts w:ascii="Aptos" w:hAnsi="Aptos"/>
                <w:sz w:val="18"/>
              </w:rPr>
              <w:t>FastAPI / Python</w:t>
            </w:r>
          </w:p>
        </w:tc>
        <w:tc>
          <w:tcPr>
            <w:tcW w:type="dxa" w:w="5400"/>
            <w:vAlign w:val="center"/>
            <w:tcMar>
              <w:top w:w="100" w:type="dxa"/>
              <w:start w:w="120" w:type="dxa"/>
              <w:bottom w:w="100" w:type="dxa"/>
              <w:end w:w="120" w:type="dxa"/>
            </w:tcMar>
          </w:tcPr>
          <w:p>
            <w:pPr>
              <w:spacing w:after="0" w:before="0"/>
            </w:pPr>
            <w:r>
              <w:rPr>
                <w:rFonts w:ascii="Aptos" w:hAnsi="Aptos"/>
                <w:sz w:val="18"/>
              </w:rPr>
              <w:t>LLM context/inference, advanced analytics, statistical or ML workloads, asynchronous intelligence</w:t>
            </w:r>
          </w:p>
        </w:tc>
      </w:tr>
      <w:tr>
        <w:tc>
          <w:tcPr>
            <w:tcW w:type="dxa" w:w="2232"/>
            <w:vAlign w:val="center"/>
            <w:tcMar>
              <w:top w:w="100" w:type="dxa"/>
              <w:start w:w="120" w:type="dxa"/>
              <w:bottom w:w="100" w:type="dxa"/>
              <w:end w:w="120" w:type="dxa"/>
            </w:tcMar>
          </w:tcPr>
          <w:p>
            <w:pPr>
              <w:spacing w:after="0" w:before="0"/>
            </w:pPr>
            <w:r>
              <w:rPr>
                <w:rFonts w:ascii="Aptos" w:hAnsi="Aptos"/>
                <w:b/>
                <w:color w:val="312E81"/>
                <w:sz w:val="18"/>
              </w:rPr>
              <w:t>Canonical database</w:t>
            </w:r>
          </w:p>
        </w:tc>
        <w:tc>
          <w:tcPr>
            <w:tcW w:type="dxa" w:w="2448"/>
            <w:vAlign w:val="center"/>
            <w:tcMar>
              <w:top w:w="100" w:type="dxa"/>
              <w:start w:w="120" w:type="dxa"/>
              <w:bottom w:w="100" w:type="dxa"/>
              <w:end w:w="120" w:type="dxa"/>
            </w:tcMar>
          </w:tcPr>
          <w:p>
            <w:pPr>
              <w:spacing w:after="0" w:before="0"/>
            </w:pPr>
            <w:r>
              <w:rPr>
                <w:rFonts w:ascii="Aptos" w:hAnsi="Aptos"/>
                <w:sz w:val="18"/>
              </w:rPr>
              <w:t>Supabase PostgreSQL</w:t>
            </w:r>
          </w:p>
        </w:tc>
        <w:tc>
          <w:tcPr>
            <w:tcW w:type="dxa" w:w="5400"/>
            <w:vAlign w:val="center"/>
            <w:tcMar>
              <w:top w:w="100" w:type="dxa"/>
              <w:start w:w="120" w:type="dxa"/>
              <w:bottom w:w="100" w:type="dxa"/>
              <w:end w:w="120" w:type="dxa"/>
            </w:tcMar>
          </w:tcPr>
          <w:p>
            <w:pPr>
              <w:spacing w:after="0" w:before="0"/>
            </w:pPr>
            <w:r>
              <w:rPr>
                <w:rFonts w:ascii="Aptos" w:hAnsi="Aptos"/>
                <w:sz w:val="18"/>
              </w:rPr>
              <w:t>All canonical Personal, Group, Business, Work, Finance, Governance, Analytics, Memory, Event, AI and Projection structures</w:t>
            </w:r>
          </w:p>
        </w:tc>
      </w:tr>
      <w:tr>
        <w:tc>
          <w:tcPr>
            <w:tcW w:type="dxa" w:w="2232"/>
            <w:vAlign w:val="center"/>
            <w:tcMar>
              <w:top w:w="100" w:type="dxa"/>
              <w:start w:w="120" w:type="dxa"/>
              <w:bottom w:w="100" w:type="dxa"/>
              <w:end w:w="120" w:type="dxa"/>
            </w:tcMar>
          </w:tcPr>
          <w:p>
            <w:pPr>
              <w:spacing w:after="0" w:before="0"/>
            </w:pPr>
            <w:r>
              <w:rPr>
                <w:rFonts w:ascii="Aptos" w:hAnsi="Aptos"/>
                <w:b/>
                <w:color w:val="312E81"/>
                <w:sz w:val="18"/>
              </w:rPr>
              <w:t>Async processing</w:t>
            </w:r>
          </w:p>
        </w:tc>
        <w:tc>
          <w:tcPr>
            <w:tcW w:type="dxa" w:w="2448"/>
            <w:vAlign w:val="center"/>
            <w:tcMar>
              <w:top w:w="100" w:type="dxa"/>
              <w:start w:w="120" w:type="dxa"/>
              <w:bottom w:w="100" w:type="dxa"/>
              <w:end w:w="120" w:type="dxa"/>
            </w:tcMar>
          </w:tcPr>
          <w:p>
            <w:pPr>
              <w:spacing w:after="0" w:before="0"/>
            </w:pPr>
            <w:r>
              <w:rPr>
                <w:rFonts w:ascii="Aptos" w:hAnsi="Aptos"/>
                <w:sz w:val="18"/>
              </w:rPr>
              <w:t>TypeScript and/or Python workers</w:t>
            </w:r>
          </w:p>
        </w:tc>
        <w:tc>
          <w:tcPr>
            <w:tcW w:type="dxa" w:w="5400"/>
            <w:vAlign w:val="center"/>
            <w:tcMar>
              <w:top w:w="100" w:type="dxa"/>
              <w:start w:w="120" w:type="dxa"/>
              <w:bottom w:w="100" w:type="dxa"/>
              <w:end w:w="120" w:type="dxa"/>
            </w:tcMar>
          </w:tcPr>
          <w:p>
            <w:pPr>
              <w:spacing w:after="0" w:before="0"/>
            </w:pPr>
            <w:r>
              <w:rPr>
                <w:rFonts w:ascii="Aptos" w:hAnsi="Aptos"/>
                <w:sz w:val="18"/>
              </w:rPr>
              <w:t>Outbox publication, metric calculation, memory processing, AI processing, projection updates</w:t>
            </w:r>
          </w:p>
        </w:tc>
      </w:tr>
      <w:tr>
        <w:tc>
          <w:tcPr>
            <w:tcW w:type="dxa" w:w="2232"/>
            <w:vAlign w:val="center"/>
            <w:tcMar>
              <w:top w:w="100" w:type="dxa"/>
              <w:start w:w="120" w:type="dxa"/>
              <w:bottom w:w="100" w:type="dxa"/>
              <w:end w:w="120" w:type="dxa"/>
            </w:tcMar>
          </w:tcPr>
          <w:p>
            <w:pPr>
              <w:spacing w:after="0" w:before="0"/>
            </w:pPr>
            <w:r>
              <w:rPr>
                <w:rFonts w:ascii="Aptos" w:hAnsi="Aptos"/>
                <w:b/>
                <w:color w:val="312E81"/>
                <w:sz w:val="18"/>
              </w:rPr>
              <w:t>File/object storage</w:t>
            </w:r>
          </w:p>
        </w:tc>
        <w:tc>
          <w:tcPr>
            <w:tcW w:type="dxa" w:w="2448"/>
            <w:vAlign w:val="center"/>
            <w:tcMar>
              <w:top w:w="100" w:type="dxa"/>
              <w:start w:w="120" w:type="dxa"/>
              <w:bottom w:w="100" w:type="dxa"/>
              <w:end w:w="120" w:type="dxa"/>
            </w:tcMar>
          </w:tcPr>
          <w:p>
            <w:pPr>
              <w:spacing w:after="0" w:before="0"/>
            </w:pPr>
            <w:r>
              <w:rPr>
                <w:rFonts w:ascii="Aptos" w:hAnsi="Aptos"/>
                <w:sz w:val="18"/>
              </w:rPr>
              <w:t>Supabase Storage</w:t>
            </w:r>
          </w:p>
        </w:tc>
        <w:tc>
          <w:tcPr>
            <w:tcW w:type="dxa" w:w="5400"/>
            <w:vAlign w:val="center"/>
            <w:tcMar>
              <w:top w:w="100" w:type="dxa"/>
              <w:start w:w="120" w:type="dxa"/>
              <w:bottom w:w="100" w:type="dxa"/>
              <w:end w:w="120" w:type="dxa"/>
            </w:tcMar>
          </w:tcPr>
          <w:p>
            <w:pPr>
              <w:spacing w:after="0" w:before="0"/>
            </w:pPr>
            <w:r>
              <w:rPr>
                <w:rFonts w:ascii="Aptos" w:hAnsi="Aptos"/>
                <w:sz w:val="18"/>
              </w:rPr>
              <w:t>Evidence files, images and other binary assets</w:t>
            </w:r>
          </w:p>
        </w:tc>
      </w:tr>
      <w:tr>
        <w:tc>
          <w:tcPr>
            <w:tcW w:type="dxa" w:w="2232"/>
            <w:vAlign w:val="center"/>
            <w:tcMar>
              <w:top w:w="100" w:type="dxa"/>
              <w:start w:w="120" w:type="dxa"/>
              <w:bottom w:w="100" w:type="dxa"/>
              <w:end w:w="120" w:type="dxa"/>
            </w:tcMar>
          </w:tcPr>
          <w:p>
            <w:pPr>
              <w:spacing w:after="0" w:before="0"/>
            </w:pPr>
            <w:r>
              <w:rPr>
                <w:rFonts w:ascii="Aptos" w:hAnsi="Aptos"/>
                <w:b/>
                <w:color w:val="312E81"/>
                <w:sz w:val="18"/>
              </w:rPr>
              <w:t>Cache - later only if measured</w:t>
            </w:r>
          </w:p>
        </w:tc>
        <w:tc>
          <w:tcPr>
            <w:tcW w:type="dxa" w:w="2448"/>
            <w:vAlign w:val="center"/>
            <w:tcMar>
              <w:top w:w="100" w:type="dxa"/>
              <w:start w:w="120" w:type="dxa"/>
              <w:bottom w:w="100" w:type="dxa"/>
              <w:end w:w="120" w:type="dxa"/>
            </w:tcMar>
          </w:tcPr>
          <w:p>
            <w:pPr>
              <w:spacing w:after="0" w:before="0"/>
            </w:pPr>
            <w:r>
              <w:rPr>
                <w:rFonts w:ascii="Aptos" w:hAnsi="Aptos"/>
                <w:sz w:val="18"/>
              </w:rPr>
              <w:t>Redis or equivalent</w:t>
            </w:r>
          </w:p>
        </w:tc>
        <w:tc>
          <w:tcPr>
            <w:tcW w:type="dxa" w:w="5400"/>
            <w:vAlign w:val="center"/>
            <w:tcMar>
              <w:top w:w="100" w:type="dxa"/>
              <w:start w:w="120" w:type="dxa"/>
              <w:bottom w:w="100" w:type="dxa"/>
              <w:end w:w="120" w:type="dxa"/>
            </w:tcMar>
          </w:tcPr>
          <w:p>
            <w:pPr>
              <w:spacing w:after="0" w:before="0"/>
            </w:pPr>
            <w:r>
              <w:rPr>
                <w:rFonts w:ascii="Aptos" w:hAnsi="Aptos"/>
                <w:sz w:val="18"/>
              </w:rPr>
              <w:t>Short-lived acceleration only after a measured bottleneck; never canonical truth</w:t>
            </w:r>
          </w:p>
        </w:tc>
      </w:tr>
      <w:tr>
        <w:tc>
          <w:tcPr>
            <w:tcW w:type="dxa" w:w="2232"/>
            <w:vAlign w:val="center"/>
            <w:tcMar>
              <w:top w:w="100" w:type="dxa"/>
              <w:start w:w="120" w:type="dxa"/>
              <w:bottom w:w="100" w:type="dxa"/>
              <w:end w:w="120" w:type="dxa"/>
            </w:tcMar>
          </w:tcPr>
          <w:p>
            <w:pPr>
              <w:spacing w:after="0" w:before="0"/>
            </w:pPr>
            <w:r>
              <w:rPr>
                <w:rFonts w:ascii="Aptos" w:hAnsi="Aptos"/>
                <w:b/>
                <w:color w:val="312E81"/>
                <w:sz w:val="18"/>
              </w:rPr>
              <w:t>MongoDB</w:t>
            </w:r>
          </w:p>
        </w:tc>
        <w:tc>
          <w:tcPr>
            <w:tcW w:type="dxa" w:w="2448"/>
            <w:vAlign w:val="center"/>
            <w:tcMar>
              <w:top w:w="100" w:type="dxa"/>
              <w:start w:w="120" w:type="dxa"/>
              <w:bottom w:w="100" w:type="dxa"/>
              <w:end w:w="120" w:type="dxa"/>
            </w:tcMar>
          </w:tcPr>
          <w:p>
            <w:pPr>
              <w:spacing w:after="0" w:before="0"/>
            </w:pPr>
            <w:r>
              <w:rPr>
                <w:rFonts w:ascii="Aptos" w:hAnsi="Aptos"/>
                <w:sz w:val="18"/>
              </w:rPr>
              <w:t>Not required for Phase 1</w:t>
            </w:r>
          </w:p>
        </w:tc>
        <w:tc>
          <w:tcPr>
            <w:tcW w:type="dxa" w:w="5400"/>
            <w:vAlign w:val="center"/>
            <w:tcMar>
              <w:top w:w="100" w:type="dxa"/>
              <w:start w:w="120" w:type="dxa"/>
              <w:bottom w:w="100" w:type="dxa"/>
              <w:end w:w="120" w:type="dxa"/>
            </w:tcMar>
          </w:tcPr>
          <w:p>
            <w:pPr>
              <w:spacing w:after="0" w:before="0"/>
            </w:pPr>
            <w:r>
              <w:rPr>
                <w:rFonts w:ascii="Aptos" w:hAnsi="Aptos"/>
                <w:sz w:val="18"/>
              </w:rPr>
              <w:t>Do not split canonical Momentra truth across PostgreSQL and MongoDB</w:t>
            </w:r>
          </w:p>
        </w:tc>
      </w:tr>
    </w:tbl>
    <w:tbl>
      <w:tblPr>
        <w:tblW w:type="auto" w:w="0"/>
        <w:jc w:val="center"/>
        <w:tblLook w:firstColumn="1" w:firstRow="1" w:lastColumn="0" w:lastRow="0" w:noHBand="0" w:noVBand="1" w:val="04A0"/>
      </w:tblPr>
      <w:tblGrid>
        <w:gridCol w:w="10080"/>
      </w:tblGrid>
      <w:tr>
        <w:tc>
          <w:tcPr>
            <w:tcW w:type="dxa" w:w="10080"/>
            <w:shd w:fill="EEF2FF"/>
            <w:tcMar>
              <w:top w:w="140" w:type="dxa"/>
              <w:start w:w="160" w:type="dxa"/>
              <w:bottom w:w="140" w:type="dxa"/>
              <w:end w:w="160" w:type="dxa"/>
            </w:tcMar>
          </w:tcPr>
          <w:p>
            <w:r>
              <w:rPr>
                <w:b/>
                <w:color w:val="312E81"/>
                <w:sz w:val="21"/>
              </w:rPr>
              <w:t>Primary performance principle</w:t>
              <w:br/>
            </w:r>
            <w:r>
              <w:rPr>
                <w:sz w:val="20"/>
              </w:rPr>
              <w:t>Momentra performance depends more on short request paths, pooled database connections, indexed projection reads, bounded query counts, and geographic proximity between Hostinger/Dokploy and Supabase than on the programming language alone.</w:t>
            </w:r>
          </w:p>
        </w:tc>
      </w:tr>
    </w:tbl>
    <w:p>
      <w:pPr>
        <w:spacing w:after="0"/>
      </w:pPr>
    </w:p>
    <w:p>
      <w:pPr>
        <w:pStyle w:val="Heading1"/>
        <w:keepNext/>
      </w:pPr>
      <w:r>
        <w:t>2. Target Deployment Topology</w:t>
      </w:r>
    </w:p>
    <w:p>
      <w:pPr>
        <w:jc w:val="center"/>
      </w:pPr>
      <w:r>
        <w:rPr>
          <w:rFonts w:ascii="Consolas" w:hAnsi="Consolas"/>
          <w:color w:val="1E293B"/>
          <w:sz w:val="18"/>
        </w:rPr>
        <w:t>MOMENTRA MOBILE / WEB CLIENT</w:t>
        <w:br/>
        <w:t xml:space="preserve">          |</w:t>
        <w:br/>
        <w:t xml:space="preserve">          v</w:t>
        <w:br/>
        <w:t>+-----------------------------------+</w:t>
        <w:br/>
        <w:t>| TypeScript / Node.js Main API-BFF |</w:t>
        <w:br/>
        <w:t>| Auth | Moments | Work | Finance   |</w:t>
        <w:br/>
        <w:t>| Governance | Orchestration        |</w:t>
        <w:br/>
        <w:t>+----------------+------------------+</w:t>
        <w:br/>
        <w:t xml:space="preserve">                 |</w:t>
        <w:br/>
        <w:t xml:space="preserve">          pooled PostgreSQL</w:t>
        <w:br/>
        <w:t xml:space="preserve">                 |</w:t>
        <w:br/>
        <w:t xml:space="preserve">                 v</w:t>
        <w:br/>
        <w:t>+-----------------------------------+</w:t>
        <w:br/>
        <w:t>|       SUPABASE POSTGRESQL         |</w:t>
        <w:br/>
        <w:t>| Canonical state + Outbox + Reads  |</w:t>
        <w:br/>
        <w:t>+----------------+------------------+</w:t>
        <w:br/>
        <w:t xml:space="preserve">                 |</w:t>
        <w:br/>
        <w:t xml:space="preserve">                 v</w:t>
        <w:br/>
        <w:t xml:space="preserve">          Transactional Outbox</w:t>
        <w:br/>
        <w:t xml:space="preserve">                 |</w:t>
        <w:br/>
        <w:t xml:space="preserve">     +-----------+------------+-------------+</w:t>
        <w:br/>
        <w:t xml:space="preserve">     |                        |             |</w:t>
        <w:br/>
        <w:t xml:space="preserve">     v                        v             v</w:t>
        <w:br/>
        <w:t>FastAPI/Python          Memory Worker   Projection Worker</w:t>
        <w:br/>
        <w:t>Analytics / AI          / Processing    / Read Models</w:t>
        <w:br/>
      </w:r>
    </w:p>
    <w:p>
      <w:pPr>
        <w:pStyle w:val="Heading2"/>
        <w:keepNext/>
      </w:pPr>
      <w:r>
        <w:t>2.1 Infrastructure placement</w:t>
      </w:r>
    </w:p>
    <w:p>
      <w:pPr>
        <w:pStyle w:val="ListBullet"/>
        <w:spacing w:after="60"/>
      </w:pPr>
      <w:r>
        <w:t>Hostinger VPS runs Dokploy and hosts the Momentra backend containers and workers.</w:t>
      </w:r>
    </w:p>
    <w:p>
      <w:pPr>
        <w:pStyle w:val="ListBullet"/>
        <w:spacing w:after="60"/>
      </w:pPr>
      <w:r>
        <w:t>Supabase hosts PostgreSQL and object storage. PostgreSQL remains the authoritative data platform.</w:t>
      </w:r>
    </w:p>
    <w:p>
      <w:pPr>
        <w:pStyle w:val="ListBullet"/>
        <w:spacing w:after="60"/>
      </w:pPr>
      <w:r>
        <w:t>Hostinger and Supabase should be placed in geographically close regions wherever practical; network round trips can dominate otherwise-fast SQL.</w:t>
      </w:r>
    </w:p>
    <w:p>
      <w:pPr>
        <w:pStyle w:val="ListBullet"/>
        <w:spacing w:after="60"/>
      </w:pPr>
      <w:r>
        <w:t>Backend and workers must reuse pooled PostgreSQL connections. Do not open a new database connection per HTTP request.</w:t>
      </w:r>
    </w:p>
    <w:p>
      <w:pPr>
        <w:pStyle w:val="Heading1"/>
        <w:keepNext/>
      </w:pPr>
      <w:r>
        <w:t>3. Runtime Responsibility Split</w:t>
      </w:r>
    </w:p>
    <w:p>
      <w:pPr>
        <w:pStyle w:val="Heading2"/>
        <w:keepNext/>
      </w:pPr>
      <w:r>
        <w:t>3.1 TypeScript / Node.js - synchronous hot path</w:t>
      </w:r>
    </w:p>
    <w:p>
      <w:r>
        <w:t>Node.js owns operations where the user expects an immediate, transactional answer. These operations should avoid unnecessary service-to-service hops.</w:t>
      </w:r>
    </w:p>
    <w:p>
      <w:pPr>
        <w:pStyle w:val="ListBullet"/>
        <w:spacing w:after="60"/>
      </w:pPr>
      <w:r>
        <w:t>Authentication and verified user identity resolution</w:t>
      </w:r>
    </w:p>
    <w:p>
      <w:pPr>
        <w:pStyle w:val="ListBullet"/>
        <w:spacing w:after="60"/>
      </w:pPr>
      <w:r>
        <w:t>Moment creation/update/lifecycle commands</w:t>
      </w:r>
    </w:p>
    <w:p>
      <w:pPr>
        <w:pStyle w:val="ListBullet"/>
        <w:spacing w:after="60"/>
      </w:pPr>
      <w:r>
        <w:t>Work commands: Goal, Milestone, Task and Assignment</w:t>
      </w:r>
    </w:p>
    <w:p>
      <w:pPr>
        <w:pStyle w:val="ListBullet"/>
        <w:spacing w:after="60"/>
      </w:pPr>
      <w:r>
        <w:t>Finance commands: Expense, Budget, Contribution, Settlement, Revenue and Invoice</w:t>
      </w:r>
    </w:p>
    <w:p>
      <w:pPr>
        <w:pStyle w:val="ListBullet"/>
        <w:spacing w:after="60"/>
      </w:pPr>
      <w:r>
        <w:t>Governance: role/permission/policy/consent/approval evaluation</w:t>
      </w:r>
    </w:p>
    <w:p>
      <w:pPr>
        <w:pStyle w:val="ListBullet"/>
        <w:spacing w:after="60"/>
      </w:pPr>
      <w:r>
        <w:t>Available Action execution and reauthorization</w:t>
      </w:r>
    </w:p>
    <w:p>
      <w:pPr>
        <w:pStyle w:val="ListBullet"/>
        <w:spacing w:after="60"/>
      </w:pPr>
      <w:r>
        <w:t>Transactional Audit, Domain Event and Outbox creation</w:t>
      </w:r>
    </w:p>
    <w:p>
      <w:pPr>
        <w:pStyle w:val="ListBullet"/>
        <w:spacing w:after="60"/>
      </w:pPr>
      <w:r>
        <w:t>Low-latency projection reads for Pulse / Moments / Life / Memory</w:t>
      </w:r>
    </w:p>
    <w:p>
      <w:pPr>
        <w:pStyle w:val="Heading2"/>
        <w:keepNext/>
      </w:pPr>
      <w:r>
        <w:t>3.2 FastAPI / Python - computational and intelligence path</w:t>
      </w:r>
    </w:p>
    <w:p>
      <w:r>
        <w:t>FastAPI is used where Python provides genuine leverage. These workloads should normally remain asynchronous relative to the user command path.</w:t>
      </w:r>
    </w:p>
    <w:p>
      <w:pPr>
        <w:pStyle w:val="ListBullet"/>
        <w:spacing w:after="60"/>
      </w:pPr>
      <w:r>
        <w:t>Advanced deterministic analytics where Python libraries help</w:t>
      </w:r>
    </w:p>
    <w:p>
      <w:pPr>
        <w:pStyle w:val="ListBullet"/>
        <w:spacing w:after="60"/>
      </w:pPr>
      <w:r>
        <w:t>Statistical or machine-learning processing</w:t>
      </w:r>
    </w:p>
    <w:p>
      <w:pPr>
        <w:pStyle w:val="ListBullet"/>
        <w:spacing w:after="60"/>
      </w:pPr>
      <w:r>
        <w:t>AI context assembly and LLM orchestration</w:t>
      </w:r>
    </w:p>
    <w:p>
      <w:pPr>
        <w:pStyle w:val="ListBullet"/>
        <w:spacing w:after="60"/>
      </w:pPr>
      <w:r>
        <w:t>AI Insight and Recommendation generation</w:t>
      </w:r>
    </w:p>
    <w:p>
      <w:pPr>
        <w:pStyle w:val="ListBullet"/>
        <w:spacing w:after="60"/>
      </w:pPr>
      <w:r>
        <w:t>Embedding or semantic-processing workloads if introduced later</w:t>
      </w:r>
    </w:p>
    <w:p>
      <w:pPr>
        <w:pStyle w:val="ListBullet"/>
        <w:spacing w:after="60"/>
      </w:pPr>
      <w:r>
        <w:t>Complex pattern detection or experimentation workloads</w:t>
      </w:r>
    </w:p>
    <w:p>
      <w:pPr>
        <w:pStyle w:val="Heading2"/>
        <w:keepNext/>
      </w:pPr>
      <w:r>
        <w:t>3.3 What must not become a synchronous dependency</w:t>
      </w:r>
    </w:p>
    <w:p>
      <w:pPr>
        <w:pStyle w:val="ListBullet"/>
        <w:spacing w:after="60"/>
      </w:pPr>
      <w:r>
        <w:t>Expense creation must not wait for AI inference.</w:t>
      </w:r>
    </w:p>
    <w:p>
      <w:pPr>
        <w:pStyle w:val="ListBullet"/>
        <w:spacing w:after="60"/>
      </w:pPr>
      <w:r>
        <w:t>Task completion must not wait for Memory generation.</w:t>
      </w:r>
    </w:p>
    <w:p>
      <w:pPr>
        <w:pStyle w:val="ListBullet"/>
        <w:spacing w:after="60"/>
      </w:pPr>
      <w:r>
        <w:t>Moment creation must not wait for downstream analytics.</w:t>
      </w:r>
    </w:p>
    <w:p>
      <w:pPr>
        <w:pStyle w:val="ListBullet"/>
        <w:spacing w:after="60"/>
      </w:pPr>
      <w:r>
        <w:t>Finance posting must not require projection rebuilding before COMMIT.</w:t>
      </w:r>
    </w:p>
    <w:p>
      <w:pPr>
        <w:pStyle w:val="ListBullet"/>
        <w:spacing w:after="60"/>
      </w:pPr>
      <w:r>
        <w:t>Core operations must remain available when AI, Memory, Analytics or Projection workers are temporarily unavailable.</w:t>
      </w:r>
    </w:p>
    <w:p>
      <w:pPr>
        <w:pStyle w:val="Heading1"/>
        <w:keepNext/>
      </w:pPr>
      <w:r>
        <w:t>4. PostgreSQL as the Single Canonical Source of Truth</w:t>
      </w:r>
    </w:p>
    <w:p>
      <w:r>
        <w:t>The V001-V030 database architecture already encodes strong relational ownership, cross-domain finance, governance, analytics, events, projections and RLS. This architecture should remain the canonical data model during deployment.</w:t>
      </w:r>
    </w:p>
    <w:tbl>
      <w:tblPr>
        <w:tblW w:type="auto" w:w="0"/>
        <w:jc w:val="center"/>
        <w:tblLayout w:type="fixed"/>
        <w:tblLook w:firstColumn="1" w:firstRow="1" w:lastColumn="0" w:lastRow="0" w:noHBand="0" w:noVBand="1" w:val="04A0"/>
      </w:tblPr>
      <w:tblGrid>
        <w:gridCol w:w="5040"/>
        <w:gridCol w:w="5040"/>
      </w:tblGrid>
      <w:tr>
        <w:tc>
          <w:tcPr>
            <w:tcW w:type="dxa" w:w="2592"/>
            <w:vAlign w:val="center"/>
            <w:tcMar>
              <w:top w:w="100" w:type="dxa"/>
              <w:start w:w="120" w:type="dxa"/>
              <w:bottom w:w="100" w:type="dxa"/>
              <w:end w:w="120" w:type="dxa"/>
            </w:tcMar>
            <w:shd w:fill="312E81"/>
          </w:tcPr>
          <w:p>
            <w:pPr>
              <w:spacing w:after="0" w:before="0"/>
            </w:pPr>
            <w:r>
              <w:rPr>
                <w:rFonts w:ascii="Aptos" w:hAnsi="Aptos"/>
                <w:b/>
                <w:color w:val="FFFFFF"/>
                <w:sz w:val="18"/>
              </w:rPr>
              <w:t>Schema / layer</w:t>
            </w:r>
          </w:p>
        </w:tc>
        <w:tc>
          <w:tcPr>
            <w:tcW w:type="dxa" w:w="7488"/>
            <w:vAlign w:val="center"/>
            <w:tcMar>
              <w:top w:w="100" w:type="dxa"/>
              <w:start w:w="120" w:type="dxa"/>
              <w:bottom w:w="100" w:type="dxa"/>
              <w:end w:w="120" w:type="dxa"/>
            </w:tcMar>
            <w:shd w:fill="312E81"/>
          </w:tcPr>
          <w:p>
            <w:pPr>
              <w:spacing w:after="0" w:before="0"/>
            </w:pPr>
            <w:r>
              <w:rPr>
                <w:rFonts w:ascii="Aptos" w:hAnsi="Aptos"/>
                <w:b/>
                <w:color w:val="FFFFFF"/>
                <w:sz w:val="18"/>
              </w:rPr>
              <w:t>Canonical responsibility</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core</w:t>
            </w:r>
          </w:p>
        </w:tc>
        <w:tc>
          <w:tcPr>
            <w:tcW w:type="dxa" w:w="7488"/>
            <w:vAlign w:val="center"/>
            <w:tcMar>
              <w:top w:w="100" w:type="dxa"/>
              <w:start w:w="120" w:type="dxa"/>
              <w:bottom w:w="100" w:type="dxa"/>
              <w:end w:w="120" w:type="dxa"/>
            </w:tcMar>
          </w:tcPr>
          <w:p>
            <w:pPr>
              <w:spacing w:after="0" w:before="0"/>
            </w:pPr>
            <w:r>
              <w:rPr>
                <w:rFonts w:ascii="Aptos" w:hAnsi="Aptos"/>
                <w:sz w:val="18"/>
              </w:rPr>
              <w:t>User, Moment Kernel, taxonomy, capability registry</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personal</w:t>
            </w:r>
          </w:p>
        </w:tc>
        <w:tc>
          <w:tcPr>
            <w:tcW w:type="dxa" w:w="7488"/>
            <w:vAlign w:val="center"/>
            <w:tcMar>
              <w:top w:w="100" w:type="dxa"/>
              <w:start w:w="120" w:type="dxa"/>
              <w:bottom w:w="100" w:type="dxa"/>
              <w:end w:w="120" w:type="dxa"/>
            </w:tcMar>
          </w:tcPr>
          <w:p>
            <w:pPr>
              <w:spacing w:after="0" w:before="0"/>
            </w:pPr>
            <w:r>
              <w:rPr>
                <w:rFonts w:ascii="Aptos" w:hAnsi="Aptos"/>
                <w:sz w:val="18"/>
              </w:rPr>
              <w:t>Personal Moment Context, Life Operations, Future Building extensions, Lifestyle, Relationships</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collaboration</w:t>
            </w:r>
          </w:p>
        </w:tc>
        <w:tc>
          <w:tcPr>
            <w:tcW w:type="dxa" w:w="7488"/>
            <w:vAlign w:val="center"/>
            <w:tcMar>
              <w:top w:w="100" w:type="dxa"/>
              <w:start w:w="120" w:type="dxa"/>
              <w:bottom w:w="100" w:type="dxa"/>
              <w:end w:w="120" w:type="dxa"/>
            </w:tcMar>
          </w:tcPr>
          <w:p>
            <w:pPr>
              <w:spacing w:after="0" w:before="0"/>
            </w:pPr>
            <w:r>
              <w:rPr>
                <w:rFonts w:ascii="Aptos" w:hAnsi="Aptos"/>
                <w:sz w:val="18"/>
              </w:rPr>
              <w:t>Group Moment, Participant and Group operational facts</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business</w:t>
            </w:r>
          </w:p>
        </w:tc>
        <w:tc>
          <w:tcPr>
            <w:tcW w:type="dxa" w:w="7488"/>
            <w:vAlign w:val="center"/>
            <w:tcMar>
              <w:top w:w="100" w:type="dxa"/>
              <w:start w:w="120" w:type="dxa"/>
              <w:bottom w:w="100" w:type="dxa"/>
              <w:end w:w="120" w:type="dxa"/>
            </w:tcMar>
          </w:tcPr>
          <w:p>
            <w:pPr>
              <w:spacing w:after="0" w:before="0"/>
            </w:pPr>
            <w:r>
              <w:rPr>
                <w:rFonts w:ascii="Aptos" w:hAnsi="Aptos"/>
                <w:sz w:val="18"/>
              </w:rPr>
              <w:t>Company, Membership, Team, Business Moments, Vendor, SLA, Issue, Risk, Decision</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work</w:t>
            </w:r>
          </w:p>
        </w:tc>
        <w:tc>
          <w:tcPr>
            <w:tcW w:type="dxa" w:w="7488"/>
            <w:vAlign w:val="center"/>
            <w:tcMar>
              <w:top w:w="100" w:type="dxa"/>
              <w:start w:w="120" w:type="dxa"/>
              <w:bottom w:w="100" w:type="dxa"/>
              <w:end w:w="120" w:type="dxa"/>
            </w:tcMar>
          </w:tcPr>
          <w:p>
            <w:pPr>
              <w:spacing w:after="0" w:before="0"/>
            </w:pPr>
            <w:r>
              <w:rPr>
                <w:rFonts w:ascii="Aptos" w:hAnsi="Aptos"/>
                <w:sz w:val="18"/>
              </w:rPr>
              <w:t>Goal, Milestone, Task, Assignment</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finance</w:t>
            </w:r>
          </w:p>
        </w:tc>
        <w:tc>
          <w:tcPr>
            <w:tcW w:type="dxa" w:w="7488"/>
            <w:vAlign w:val="center"/>
            <w:tcMar>
              <w:top w:w="100" w:type="dxa"/>
              <w:start w:w="120" w:type="dxa"/>
              <w:bottom w:w="100" w:type="dxa"/>
              <w:end w:w="120" w:type="dxa"/>
            </w:tcMar>
          </w:tcPr>
          <w:p>
            <w:pPr>
              <w:spacing w:after="0" w:before="0"/>
            </w:pPr>
            <w:r>
              <w:rPr>
                <w:rFonts w:ascii="Aptos" w:hAnsi="Aptos"/>
                <w:sz w:val="18"/>
              </w:rPr>
              <w:t>Expense, Budget, Contribution, Obligation, Settlement, Revenue, Invoice, Financial Account</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governance</w:t>
            </w:r>
          </w:p>
        </w:tc>
        <w:tc>
          <w:tcPr>
            <w:tcW w:type="dxa" w:w="7488"/>
            <w:vAlign w:val="center"/>
            <w:tcMar>
              <w:top w:w="100" w:type="dxa"/>
              <w:start w:w="120" w:type="dxa"/>
              <w:bottom w:w="100" w:type="dxa"/>
              <w:end w:w="120" w:type="dxa"/>
            </w:tcMar>
          </w:tcPr>
          <w:p>
            <w:pPr>
              <w:spacing w:after="0" w:before="0"/>
            </w:pPr>
            <w:r>
              <w:rPr>
                <w:rFonts w:ascii="Aptos" w:hAnsi="Aptos"/>
                <w:sz w:val="18"/>
              </w:rPr>
              <w:t>Role, Permission, Consent, Policy, Approval</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analytics</w:t>
            </w:r>
          </w:p>
        </w:tc>
        <w:tc>
          <w:tcPr>
            <w:tcW w:type="dxa" w:w="7488"/>
            <w:vAlign w:val="center"/>
            <w:tcMar>
              <w:top w:w="100" w:type="dxa"/>
              <w:start w:w="120" w:type="dxa"/>
              <w:bottom w:w="100" w:type="dxa"/>
              <w:end w:w="120" w:type="dxa"/>
            </w:tcMar>
          </w:tcPr>
          <w:p>
            <w:pPr>
              <w:spacing w:after="0" w:before="0"/>
            </w:pPr>
            <w:r>
              <w:rPr>
                <w:rFonts w:ascii="Aptos" w:hAnsi="Aptos"/>
                <w:sz w:val="18"/>
              </w:rPr>
              <w:t>Metric, Metric Version, Observation, Current, Attention, Deterministic Insight</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memory</w:t>
            </w:r>
          </w:p>
        </w:tc>
        <w:tc>
          <w:tcPr>
            <w:tcW w:type="dxa" w:w="7488"/>
            <w:vAlign w:val="center"/>
            <w:tcMar>
              <w:top w:w="100" w:type="dxa"/>
              <w:start w:w="120" w:type="dxa"/>
              <w:bottom w:w="100" w:type="dxa"/>
              <w:end w:w="120" w:type="dxa"/>
            </w:tcMar>
          </w:tcPr>
          <w:p>
            <w:pPr>
              <w:spacing w:after="0" w:before="0"/>
            </w:pPr>
            <w:r>
              <w:rPr>
                <w:rFonts w:ascii="Aptos" w:hAnsi="Aptos"/>
                <w:sz w:val="18"/>
              </w:rPr>
              <w:t>Memory, Evidence, Pattern, Learning, Playbook</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events / audit / platform</w:t>
            </w:r>
          </w:p>
        </w:tc>
        <w:tc>
          <w:tcPr>
            <w:tcW w:type="dxa" w:w="7488"/>
            <w:vAlign w:val="center"/>
            <w:tcMar>
              <w:top w:w="100" w:type="dxa"/>
              <w:start w:w="120" w:type="dxa"/>
              <w:bottom w:w="100" w:type="dxa"/>
              <w:end w:w="120" w:type="dxa"/>
            </w:tcMar>
          </w:tcPr>
          <w:p>
            <w:pPr>
              <w:spacing w:after="0" w:before="0"/>
            </w:pPr>
            <w:r>
              <w:rPr>
                <w:rFonts w:ascii="Aptos" w:hAnsi="Aptos"/>
                <w:sz w:val="18"/>
              </w:rPr>
              <w:t>Domain Events, Outbox, Audit, Idempotency, jobs and checkpoints</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ai</w:t>
            </w:r>
          </w:p>
        </w:tc>
        <w:tc>
          <w:tcPr>
            <w:tcW w:type="dxa" w:w="7488"/>
            <w:vAlign w:val="center"/>
            <w:tcMar>
              <w:top w:w="100" w:type="dxa"/>
              <w:start w:w="120" w:type="dxa"/>
              <w:bottom w:w="100" w:type="dxa"/>
              <w:end w:w="120" w:type="dxa"/>
            </w:tcMar>
          </w:tcPr>
          <w:p>
            <w:pPr>
              <w:spacing w:after="0" w:before="0"/>
            </w:pPr>
            <w:r>
              <w:rPr>
                <w:rFonts w:ascii="Aptos" w:hAnsi="Aptos"/>
                <w:sz w:val="18"/>
              </w:rPr>
              <w:t>Context, Inference, Insight, Recommendation, Action Proposal, Provenance</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projection</w:t>
            </w:r>
          </w:p>
        </w:tc>
        <w:tc>
          <w:tcPr>
            <w:tcW w:type="dxa" w:w="7488"/>
            <w:vAlign w:val="center"/>
            <w:tcMar>
              <w:top w:w="100" w:type="dxa"/>
              <w:start w:w="120" w:type="dxa"/>
              <w:bottom w:w="100" w:type="dxa"/>
              <w:end w:w="120" w:type="dxa"/>
            </w:tcMar>
          </w:tcPr>
          <w:p>
            <w:pPr>
              <w:spacing w:after="0" w:before="0"/>
            </w:pPr>
            <w:r>
              <w:rPr>
                <w:rFonts w:ascii="Aptos" w:hAnsi="Aptos"/>
                <w:sz w:val="18"/>
              </w:rPr>
              <w:t>Pulse, Moments, Life, Memory, Finance, Available Actions, Life360 and recent activity</w:t>
            </w:r>
          </w:p>
        </w:tc>
      </w:tr>
    </w:tbl>
    <w:p>
      <w:pPr>
        <w:pStyle w:val="Heading2"/>
        <w:keepNext/>
      </w:pPr>
      <w:r>
        <w:t>4.1 MongoDB decision</w:t>
      </w:r>
    </w:p>
    <w:tbl>
      <w:tblPr>
        <w:tblW w:type="auto" w:w="0"/>
        <w:jc w:val="center"/>
        <w:tblLook w:firstColumn="1" w:firstRow="1" w:lastColumn="0" w:lastRow="0" w:noHBand="0" w:noVBand="1" w:val="04A0"/>
      </w:tblPr>
      <w:tblGrid>
        <w:gridCol w:w="10080"/>
      </w:tblGrid>
      <w:tr>
        <w:tc>
          <w:tcPr>
            <w:tcW w:type="dxa" w:w="10080"/>
            <w:shd w:fill="EEF2FF"/>
            <w:tcMar>
              <w:top w:w="140" w:type="dxa"/>
              <w:start w:w="160" w:type="dxa"/>
              <w:bottom w:w="140" w:type="dxa"/>
              <w:end w:w="160" w:type="dxa"/>
            </w:tcMar>
          </w:tcPr>
          <w:p>
            <w:r>
              <w:rPr>
                <w:b/>
                <w:color w:val="312E81"/>
                <w:sz w:val="21"/>
              </w:rPr>
              <w:t>Decision: do not add MongoDB as a primary Momentra database in Phase 1</w:t>
              <w:br/>
            </w:r>
            <w:r>
              <w:rPr>
                <w:sz w:val="20"/>
              </w:rPr>
              <w:t>Adding MongoDB would introduce dual canonical state, synchronization, separate backup/recovery, two security models, cross-database debugging and new failure modes. If a future document-oriented workload appears, first evaluate PostgreSQL JSONB, object storage or Redis. MongoDB should be introduced only for a measured, bounded non-canonical workload.</w:t>
            </w:r>
          </w:p>
        </w:tc>
      </w:tr>
    </w:tbl>
    <w:p>
      <w:pPr>
        <w:spacing w:after="0"/>
      </w:pPr>
    </w:p>
    <w:p>
      <w:pPr>
        <w:pStyle w:val="Heading1"/>
        <w:keepNext/>
      </w:pPr>
      <w:r>
        <w:t>5. Synchronous Transaction Architecture</w:t>
      </w:r>
    </w:p>
    <w:p>
      <w:r>
        <w:t>The synchronous command path should be short, transactional and deterministic.</w:t>
      </w:r>
    </w:p>
    <w:p>
      <w:r>
        <w:rPr>
          <w:rFonts w:ascii="Consolas" w:hAnsi="Consolas"/>
          <w:sz w:val="18"/>
        </w:rPr>
        <w:t>Client command</w:t>
        <w:br/>
        <w:t xml:space="preserve">   -&gt; Node API / BFF</w:t>
        <w:br/>
        <w:t xml:space="preserve">   -&gt; Authenticate and resolve scope</w:t>
        <w:br/>
        <w:t xml:space="preserve">   -&gt; Capability + Governance validation</w:t>
        <w:br/>
        <w:t xml:space="preserve">   -&gt; BEGIN PostgreSQL transaction</w:t>
        <w:br/>
        <w:t xml:space="preserve">        - canonical mutation</w:t>
        <w:br/>
        <w:t xml:space="preserve">        - required Audit</w:t>
        <w:br/>
        <w:t xml:space="preserve">        - Domain Event</w:t>
        <w:br/>
        <w:t xml:space="preserve">        - Outbox row</w:t>
        <w:br/>
        <w:t xml:space="preserve">        - idempotency completion</w:t>
        <w:br/>
        <w:t xml:space="preserve">      COMMIT</w:t>
        <w:br/>
        <w:t xml:space="preserve">   -&gt; Return response</w:t>
        <w:br/>
      </w:r>
    </w:p>
    <w:p>
      <w:pPr>
        <w:pStyle w:val="Heading2"/>
        <w:keepNext/>
      </w:pPr>
      <w:r>
        <w:t>5.1 Finance transaction rule</w:t>
      </w:r>
    </w:p>
    <w:p>
      <w:r>
        <w:t>Finance remains inside the main transactional backend path. It should not be split into an additional network service merely to be “microservice-like”. Expense, Contribution, Settlement and Invoice operations depend on atomic validation, idempotency, governance, audit and event/outbox behavior.</w:t>
      </w:r>
    </w:p>
    <w:tbl>
      <w:tblPr>
        <w:tblW w:type="auto" w:w="0"/>
        <w:jc w:val="center"/>
        <w:tblLook w:firstColumn="1" w:firstRow="1" w:lastColumn="0" w:lastRow="0" w:noHBand="0" w:noVBand="1" w:val="04A0"/>
      </w:tblPr>
      <w:tblGrid>
        <w:gridCol w:w="10080"/>
      </w:tblGrid>
      <w:tr>
        <w:tc>
          <w:tcPr>
            <w:tcW w:type="dxa" w:w="10080"/>
            <w:shd w:fill="EEF2FF"/>
            <w:tcMar>
              <w:top w:w="140" w:type="dxa"/>
              <w:start w:w="160" w:type="dxa"/>
              <w:bottom w:w="140" w:type="dxa"/>
              <w:end w:w="160" w:type="dxa"/>
            </w:tcMar>
          </w:tcPr>
          <w:p>
            <w:r>
              <w:rPr>
                <w:b/>
                <w:color w:val="312E81"/>
                <w:sz w:val="21"/>
              </w:rPr>
              <w:t>Finance invariant</w:t>
              <w:br/>
            </w:r>
            <w:r>
              <w:rPr>
                <w:sz w:val="20"/>
              </w:rPr>
              <w:t>One HTTP command should result in one logical financial effect. Retries, timeouts and container restarts must be resolved through the existing idempotency design, not by duplicating writes.</w:t>
            </w:r>
          </w:p>
        </w:tc>
      </w:tr>
    </w:tbl>
    <w:p>
      <w:pPr>
        <w:spacing w:after="0"/>
      </w:pPr>
    </w:p>
    <w:p>
      <w:pPr>
        <w:pStyle w:val="Heading1"/>
        <w:keepNext/>
      </w:pPr>
      <w:r>
        <w:t>6. Asynchronous Processing Architecture</w:t>
      </w:r>
    </w:p>
    <w:tbl>
      <w:tblPr>
        <w:tblW w:type="auto" w:w="0"/>
        <w:jc w:val="center"/>
        <w:tblLayout w:type="fixed"/>
        <w:tblLook w:firstColumn="1" w:firstRow="1" w:lastColumn="0" w:lastRow="0" w:noHBand="0" w:noVBand="1" w:val="04A0"/>
      </w:tblPr>
      <w:tblGrid>
        <w:gridCol w:w="5040"/>
        <w:gridCol w:w="5040"/>
      </w:tblGrid>
      <w:tr>
        <w:tc>
          <w:tcPr>
            <w:tcW w:type="dxa" w:w="2592"/>
            <w:vAlign w:val="center"/>
            <w:tcMar>
              <w:top w:w="100" w:type="dxa"/>
              <w:start w:w="120" w:type="dxa"/>
              <w:bottom w:w="100" w:type="dxa"/>
              <w:end w:w="120" w:type="dxa"/>
            </w:tcMar>
            <w:shd w:fill="312E81"/>
          </w:tcPr>
          <w:p>
            <w:pPr>
              <w:spacing w:after="0" w:before="0"/>
            </w:pPr>
            <w:r>
              <w:rPr>
                <w:rFonts w:ascii="Aptos" w:hAnsi="Aptos"/>
                <w:b/>
                <w:color w:val="FFFFFF"/>
                <w:sz w:val="18"/>
              </w:rPr>
              <w:t>Worker</w:t>
            </w:r>
          </w:p>
        </w:tc>
        <w:tc>
          <w:tcPr>
            <w:tcW w:type="dxa" w:w="7488"/>
            <w:vAlign w:val="center"/>
            <w:tcMar>
              <w:top w:w="100" w:type="dxa"/>
              <w:start w:w="120" w:type="dxa"/>
              <w:bottom w:w="100" w:type="dxa"/>
              <w:end w:w="120" w:type="dxa"/>
            </w:tcMar>
            <w:shd w:fill="312E81"/>
          </w:tcPr>
          <w:p>
            <w:pPr>
              <w:spacing w:after="0" w:before="0"/>
            </w:pPr>
            <w:r>
              <w:rPr>
                <w:rFonts w:ascii="Aptos" w:hAnsi="Aptos"/>
                <w:b/>
                <w:color w:val="FFFFFF"/>
                <w:sz w:val="18"/>
              </w:rPr>
              <w:t>Responsibility</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Outbox worker</w:t>
            </w:r>
          </w:p>
        </w:tc>
        <w:tc>
          <w:tcPr>
            <w:tcW w:type="dxa" w:w="7488"/>
            <w:vAlign w:val="center"/>
            <w:tcMar>
              <w:top w:w="100" w:type="dxa"/>
              <w:start w:w="120" w:type="dxa"/>
              <w:bottom w:w="100" w:type="dxa"/>
              <w:end w:w="120" w:type="dxa"/>
            </w:tcMar>
          </w:tcPr>
          <w:p>
            <w:pPr>
              <w:spacing w:after="0" w:before="0"/>
            </w:pPr>
            <w:r>
              <w:rPr>
                <w:rFonts w:ascii="Aptos" w:hAnsi="Aptos"/>
                <w:sz w:val="18"/>
              </w:rPr>
              <w:t>Publishes committed Domain Events; at-least-once delivery; SKIP LOCKED worker coordination</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Analytics worker</w:t>
            </w:r>
          </w:p>
        </w:tc>
        <w:tc>
          <w:tcPr>
            <w:tcW w:type="dxa" w:w="7488"/>
            <w:vAlign w:val="center"/>
            <w:tcMar>
              <w:top w:w="100" w:type="dxa"/>
              <w:start w:w="120" w:type="dxa"/>
              <w:bottom w:w="100" w:type="dxa"/>
              <w:end w:w="120" w:type="dxa"/>
            </w:tcMar>
          </w:tcPr>
          <w:p>
            <w:pPr>
              <w:spacing w:after="0" w:before="0"/>
            </w:pPr>
            <w:r>
              <w:rPr>
                <w:rFonts w:ascii="Aptos" w:hAnsi="Aptos"/>
                <w:sz w:val="18"/>
              </w:rPr>
              <w:t>Consumes relevant events, executes metric versions, writes observations/current/attention</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Memory worker</w:t>
            </w:r>
          </w:p>
        </w:tc>
        <w:tc>
          <w:tcPr>
            <w:tcW w:type="dxa" w:w="7488"/>
            <w:vAlign w:val="center"/>
            <w:tcMar>
              <w:top w:w="100" w:type="dxa"/>
              <w:start w:w="120" w:type="dxa"/>
              <w:bottom w:w="100" w:type="dxa"/>
              <w:end w:w="120" w:type="dxa"/>
            </w:tcMar>
          </w:tcPr>
          <w:p>
            <w:pPr>
              <w:spacing w:after="0" w:before="0"/>
            </w:pPr>
            <w:r>
              <w:rPr>
                <w:rFonts w:ascii="Aptos" w:hAnsi="Aptos"/>
                <w:sz w:val="18"/>
              </w:rPr>
              <w:t>Creates or updates governed Memory/Pattern/Learning state from eligible evidence</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AI worker / FastAPI</w:t>
            </w:r>
          </w:p>
        </w:tc>
        <w:tc>
          <w:tcPr>
            <w:tcW w:type="dxa" w:w="7488"/>
            <w:vAlign w:val="center"/>
            <w:tcMar>
              <w:top w:w="100" w:type="dxa"/>
              <w:start w:w="120" w:type="dxa"/>
              <w:bottom w:w="100" w:type="dxa"/>
              <w:end w:w="120" w:type="dxa"/>
            </w:tcMar>
          </w:tcPr>
          <w:p>
            <w:pPr>
              <w:spacing w:after="0" w:before="0"/>
            </w:pPr>
            <w:r>
              <w:rPr>
                <w:rFonts w:ascii="Aptos" w:hAnsi="Aptos"/>
                <w:sz w:val="18"/>
              </w:rPr>
              <w:t>Builds governed AI context, runs inference, stores Insight/Recommendation/Action Proposal</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Projection worker</w:t>
            </w:r>
          </w:p>
        </w:tc>
        <w:tc>
          <w:tcPr>
            <w:tcW w:type="dxa" w:w="7488"/>
            <w:vAlign w:val="center"/>
            <w:tcMar>
              <w:top w:w="100" w:type="dxa"/>
              <w:start w:w="120" w:type="dxa"/>
              <w:bottom w:w="100" w:type="dxa"/>
              <w:end w:w="120" w:type="dxa"/>
            </w:tcMar>
          </w:tcPr>
          <w:p>
            <w:pPr>
              <w:spacing w:after="0" w:before="0"/>
            </w:pPr>
            <w:r>
              <w:rPr>
                <w:rFonts w:ascii="Aptos" w:hAnsi="Aptos"/>
                <w:sz w:val="18"/>
              </w:rPr>
              <w:t>Updates user/Moment/Company read models used by the UI</w:t>
            </w:r>
          </w:p>
        </w:tc>
      </w:tr>
    </w:tbl>
    <w:p>
      <w:pPr>
        <w:pStyle w:val="Heading2"/>
        <w:keepNext/>
      </w:pPr>
      <w:r>
        <w:t>6.1 Failure behavior</w:t>
      </w:r>
    </w:p>
    <w:p>
      <w:pPr>
        <w:pStyle w:val="ListBullet"/>
        <w:spacing w:after="60"/>
      </w:pPr>
      <w:r>
        <w:t>If AI is unavailable, canonical Momentra functionality continues.</w:t>
      </w:r>
    </w:p>
    <w:p>
      <w:pPr>
        <w:pStyle w:val="ListBullet"/>
        <w:spacing w:after="60"/>
      </w:pPr>
      <w:r>
        <w:t>If Analytics is delayed, canonical writes continue and derived metrics become temporarily stale.</w:t>
      </w:r>
    </w:p>
    <w:p>
      <w:pPr>
        <w:pStyle w:val="ListBullet"/>
        <w:spacing w:after="60"/>
      </w:pPr>
      <w:r>
        <w:t>If Projection is delayed, the last safe read model can remain available while projection_state exposes lag.</w:t>
      </w:r>
    </w:p>
    <w:p>
      <w:pPr>
        <w:pStyle w:val="ListBullet"/>
        <w:spacing w:after="60"/>
      </w:pPr>
      <w:r>
        <w:t>If Outbox publication is delayed, committed canonical state remains correct and the backlog is replayed.</w:t>
      </w:r>
    </w:p>
    <w:p>
      <w:pPr>
        <w:pStyle w:val="ListBullet"/>
        <w:spacing w:after="60"/>
      </w:pPr>
      <w:r>
        <w:t>No asynchronous worker may directly bypass Governance and mutate unrelated canonical domains.</w:t>
      </w:r>
    </w:p>
    <w:p>
      <w:pPr>
        <w:pStyle w:val="Heading1"/>
        <w:keepNext/>
      </w:pPr>
      <w:r>
        <w:t>7. Real-Time and Low-Latency Read Architecture</w:t>
      </w:r>
    </w:p>
    <w:p>
      <w:r>
        <w:t>Momentra should distinguish transactional immediacy from derived real-time behavior.</w:t>
      </w:r>
    </w:p>
    <w:tbl>
      <w:tblPr>
        <w:tblW w:type="auto" w:w="0"/>
        <w:jc w:val="center"/>
        <w:tblLayout w:type="fixed"/>
        <w:tblLook w:firstColumn="1" w:firstRow="1" w:lastColumn="0" w:lastRow="0" w:noHBand="0" w:noVBand="1" w:val="04A0"/>
      </w:tblPr>
      <w:tblGrid>
        <w:gridCol w:w="3360"/>
        <w:gridCol w:w="3360"/>
        <w:gridCol w:w="3360"/>
      </w:tblGrid>
      <w:tr>
        <w:tc>
          <w:tcPr>
            <w:tcW w:type="dxa" w:w="2016"/>
            <w:vAlign w:val="center"/>
            <w:tcMar>
              <w:top w:w="100" w:type="dxa"/>
              <w:start w:w="120" w:type="dxa"/>
              <w:bottom w:w="100" w:type="dxa"/>
              <w:end w:w="120" w:type="dxa"/>
            </w:tcMar>
            <w:shd w:fill="312E81"/>
          </w:tcPr>
          <w:p>
            <w:pPr>
              <w:spacing w:after="0" w:before="0"/>
            </w:pPr>
            <w:r>
              <w:rPr>
                <w:rFonts w:ascii="Aptos" w:hAnsi="Aptos"/>
                <w:b/>
                <w:color w:val="FFFFFF"/>
                <w:sz w:val="18"/>
              </w:rPr>
              <w:t>Class</w:t>
            </w:r>
          </w:p>
        </w:tc>
        <w:tc>
          <w:tcPr>
            <w:tcW w:type="dxa" w:w="4320"/>
            <w:vAlign w:val="center"/>
            <w:tcMar>
              <w:top w:w="100" w:type="dxa"/>
              <w:start w:w="120" w:type="dxa"/>
              <w:bottom w:w="100" w:type="dxa"/>
              <w:end w:w="120" w:type="dxa"/>
            </w:tcMar>
            <w:shd w:fill="312E81"/>
          </w:tcPr>
          <w:p>
            <w:pPr>
              <w:spacing w:after="0" w:before="0"/>
            </w:pPr>
            <w:r>
              <w:rPr>
                <w:rFonts w:ascii="Aptos" w:hAnsi="Aptos"/>
                <w:b/>
                <w:color w:val="FFFFFF"/>
                <w:sz w:val="18"/>
              </w:rPr>
              <w:t>Examples</w:t>
            </w:r>
          </w:p>
        </w:tc>
        <w:tc>
          <w:tcPr>
            <w:tcW w:type="dxa" w:w="3744"/>
            <w:vAlign w:val="center"/>
            <w:tcMar>
              <w:top w:w="100" w:type="dxa"/>
              <w:start w:w="120" w:type="dxa"/>
              <w:bottom w:w="100" w:type="dxa"/>
              <w:end w:w="120" w:type="dxa"/>
            </w:tcMar>
            <w:shd w:fill="312E81"/>
          </w:tcPr>
          <w:p>
            <w:pPr>
              <w:spacing w:after="0" w:before="0"/>
            </w:pPr>
            <w:r>
              <w:rPr>
                <w:rFonts w:ascii="Aptos" w:hAnsi="Aptos"/>
                <w:b/>
                <w:color w:val="FFFFFF"/>
                <w:sz w:val="18"/>
              </w:rPr>
              <w:t>Expected model</w:t>
            </w:r>
          </w:p>
        </w:tc>
      </w:tr>
      <w:tr>
        <w:tc>
          <w:tcPr>
            <w:tcW w:type="dxa" w:w="2016"/>
            <w:vAlign w:val="center"/>
            <w:tcMar>
              <w:top w:w="100" w:type="dxa"/>
              <w:start w:w="120" w:type="dxa"/>
              <w:bottom w:w="100" w:type="dxa"/>
              <w:end w:w="120" w:type="dxa"/>
            </w:tcMar>
          </w:tcPr>
          <w:p>
            <w:pPr>
              <w:spacing w:after="0" w:before="0"/>
            </w:pPr>
            <w:r>
              <w:rPr>
                <w:rFonts w:ascii="Aptos" w:hAnsi="Aptos"/>
                <w:b/>
                <w:color w:val="312E81"/>
                <w:sz w:val="18"/>
              </w:rPr>
              <w:t>Transactional real-time</w:t>
            </w:r>
          </w:p>
        </w:tc>
        <w:tc>
          <w:tcPr>
            <w:tcW w:type="dxa" w:w="4320"/>
            <w:vAlign w:val="center"/>
            <w:tcMar>
              <w:top w:w="100" w:type="dxa"/>
              <w:start w:w="120" w:type="dxa"/>
              <w:bottom w:w="100" w:type="dxa"/>
              <w:end w:w="120" w:type="dxa"/>
            </w:tcMar>
          </w:tcPr>
          <w:p>
            <w:pPr>
              <w:spacing w:after="0" w:before="0"/>
            </w:pPr>
            <w:r>
              <w:rPr>
                <w:rFonts w:ascii="Aptos" w:hAnsi="Aptos"/>
                <w:sz w:val="18"/>
              </w:rPr>
              <w:t>Moment create/update, Task completion, Expense, Contribution, Poll, Approval</w:t>
            </w:r>
          </w:p>
        </w:tc>
        <w:tc>
          <w:tcPr>
            <w:tcW w:type="dxa" w:w="3744"/>
            <w:vAlign w:val="center"/>
            <w:tcMar>
              <w:top w:w="100" w:type="dxa"/>
              <w:start w:w="120" w:type="dxa"/>
              <w:bottom w:w="100" w:type="dxa"/>
              <w:end w:w="120" w:type="dxa"/>
            </w:tcMar>
          </w:tcPr>
          <w:p>
            <w:pPr>
              <w:spacing w:after="0" w:before="0"/>
            </w:pPr>
            <w:r>
              <w:rPr>
                <w:rFonts w:ascii="Aptos" w:hAnsi="Aptos"/>
                <w:sz w:val="18"/>
              </w:rPr>
              <w:t>Immediate synchronous command result</w:t>
            </w:r>
          </w:p>
        </w:tc>
      </w:tr>
      <w:tr>
        <w:tc>
          <w:tcPr>
            <w:tcW w:type="dxa" w:w="2016"/>
            <w:vAlign w:val="center"/>
            <w:tcMar>
              <w:top w:w="100" w:type="dxa"/>
              <w:start w:w="120" w:type="dxa"/>
              <w:bottom w:w="100" w:type="dxa"/>
              <w:end w:w="120" w:type="dxa"/>
            </w:tcMar>
          </w:tcPr>
          <w:p>
            <w:pPr>
              <w:spacing w:after="0" w:before="0"/>
            </w:pPr>
            <w:r>
              <w:rPr>
                <w:rFonts w:ascii="Aptos" w:hAnsi="Aptos"/>
                <w:b/>
                <w:color w:val="312E81"/>
                <w:sz w:val="18"/>
              </w:rPr>
              <w:t>Derived near-real-time</w:t>
            </w:r>
          </w:p>
        </w:tc>
        <w:tc>
          <w:tcPr>
            <w:tcW w:type="dxa" w:w="4320"/>
            <w:vAlign w:val="center"/>
            <w:tcMar>
              <w:top w:w="100" w:type="dxa"/>
              <w:start w:w="120" w:type="dxa"/>
              <w:bottom w:w="100" w:type="dxa"/>
              <w:end w:w="120" w:type="dxa"/>
            </w:tcMar>
          </w:tcPr>
          <w:p>
            <w:pPr>
              <w:spacing w:after="0" w:before="0"/>
            </w:pPr>
            <w:r>
              <w:rPr>
                <w:rFonts w:ascii="Aptos" w:hAnsi="Aptos"/>
                <w:sz w:val="18"/>
              </w:rPr>
              <w:t>Pulse, Finance summary, Runway, Recovery, Attention, Available Actions</w:t>
            </w:r>
          </w:p>
        </w:tc>
        <w:tc>
          <w:tcPr>
            <w:tcW w:type="dxa" w:w="3744"/>
            <w:vAlign w:val="center"/>
            <w:tcMar>
              <w:top w:w="100" w:type="dxa"/>
              <w:start w:w="120" w:type="dxa"/>
              <w:bottom w:w="100" w:type="dxa"/>
              <w:end w:w="120" w:type="dxa"/>
            </w:tcMar>
          </w:tcPr>
          <w:p>
            <w:pPr>
              <w:spacing w:after="0" w:before="0"/>
            </w:pPr>
            <w:r>
              <w:rPr>
                <w:rFonts w:ascii="Aptos" w:hAnsi="Aptos"/>
                <w:sz w:val="18"/>
              </w:rPr>
              <w:t>Event/outbox -&gt; worker -&gt; projection; short eventual consistency</w:t>
            </w:r>
          </w:p>
        </w:tc>
      </w:tr>
      <w:tr>
        <w:tc>
          <w:tcPr>
            <w:tcW w:type="dxa" w:w="2016"/>
            <w:vAlign w:val="center"/>
            <w:tcMar>
              <w:top w:w="100" w:type="dxa"/>
              <w:start w:w="120" w:type="dxa"/>
              <w:bottom w:w="100" w:type="dxa"/>
              <w:end w:w="120" w:type="dxa"/>
            </w:tcMar>
          </w:tcPr>
          <w:p>
            <w:pPr>
              <w:spacing w:after="0" w:before="0"/>
            </w:pPr>
            <w:r>
              <w:rPr>
                <w:rFonts w:ascii="Aptos" w:hAnsi="Aptos"/>
                <w:b/>
                <w:color w:val="312E81"/>
                <w:sz w:val="18"/>
              </w:rPr>
              <w:t>Insight real-time</w:t>
            </w:r>
          </w:p>
        </w:tc>
        <w:tc>
          <w:tcPr>
            <w:tcW w:type="dxa" w:w="4320"/>
            <w:vAlign w:val="center"/>
            <w:tcMar>
              <w:top w:w="100" w:type="dxa"/>
              <w:start w:w="120" w:type="dxa"/>
              <w:bottom w:w="100" w:type="dxa"/>
              <w:end w:w="120" w:type="dxa"/>
            </w:tcMar>
          </w:tcPr>
          <w:p>
            <w:pPr>
              <w:spacing w:after="0" w:before="0"/>
            </w:pPr>
            <w:r>
              <w:rPr>
                <w:rFonts w:ascii="Aptos" w:hAnsi="Aptos"/>
                <w:sz w:val="18"/>
              </w:rPr>
              <w:t>Memory patterns, AI Insight/Recommendation</w:t>
            </w:r>
          </w:p>
        </w:tc>
        <w:tc>
          <w:tcPr>
            <w:tcW w:type="dxa" w:w="3744"/>
            <w:vAlign w:val="center"/>
            <w:tcMar>
              <w:top w:w="100" w:type="dxa"/>
              <w:start w:w="120" w:type="dxa"/>
              <w:bottom w:w="100" w:type="dxa"/>
              <w:end w:w="120" w:type="dxa"/>
            </w:tcMar>
          </w:tcPr>
          <w:p>
            <w:pPr>
              <w:spacing w:after="0" w:before="0"/>
            </w:pPr>
            <w:r>
              <w:rPr>
                <w:rFonts w:ascii="Aptos" w:hAnsi="Aptos"/>
                <w:sz w:val="18"/>
              </w:rPr>
              <w:t>Asynchronous; more tolerant freshness</w:t>
            </w:r>
          </w:p>
        </w:tc>
      </w:tr>
    </w:tbl>
    <w:p>
      <w:pPr>
        <w:pStyle w:val="Heading2"/>
        <w:keepNext/>
      </w:pPr>
      <w:r>
        <w:t>7.1 Primary UI read path</w:t>
      </w:r>
    </w:p>
    <w:p>
      <w:r>
        <w:rPr>
          <w:rFonts w:ascii="Consolas" w:hAnsi="Consolas"/>
          <w:sz w:val="18"/>
        </w:rPr>
        <w:t>GET /personal/pulse</w:t>
        <w:br/>
        <w:t xml:space="preserve">   -&gt; authenticate</w:t>
        <w:br/>
        <w:t xml:space="preserve">   -&gt; resolve user</w:t>
        <w:br/>
        <w:t xml:space="preserve">   -&gt; SELECT projection.personal_pulse</w:t>
        <w:br/>
        <w:t xml:space="preserve">   -&gt; SELECT projection.available_action (if needed)</w:t>
        <w:br/>
        <w:t xml:space="preserve">   -&gt; return bounded JSON response</w:t>
        <w:br/>
      </w:r>
    </w:p>
    <w:p>
      <w:r>
        <w:t>The UI must not reconstruct Pulse by synchronously joining Personal + Finance + Work + Analytics + Memory + Governance on every request. Projection tables exist specifically to remove this latency and query fan-out.</w:t>
      </w:r>
    </w:p>
    <w:p>
      <w:pPr>
        <w:pStyle w:val="Heading1"/>
        <w:keepNext/>
      </w:pPr>
      <w:r>
        <w:t>8. Security and Trust Boundary</w:t>
      </w:r>
    </w:p>
    <w:tbl>
      <w:tblPr>
        <w:tblW w:type="auto" w:w="0"/>
        <w:jc w:val="center"/>
        <w:tblLayout w:type="fixed"/>
        <w:tblLook w:firstColumn="1" w:firstRow="1" w:lastColumn="0" w:lastRow="0" w:noHBand="0" w:noVBand="1" w:val="04A0"/>
      </w:tblPr>
      <w:tblGrid>
        <w:gridCol w:w="5040"/>
        <w:gridCol w:w="5040"/>
      </w:tblGrid>
      <w:tr>
        <w:tc>
          <w:tcPr>
            <w:tcW w:type="dxa" w:w="2592"/>
            <w:vAlign w:val="center"/>
            <w:tcMar>
              <w:top w:w="100" w:type="dxa"/>
              <w:start w:w="120" w:type="dxa"/>
              <w:bottom w:w="100" w:type="dxa"/>
              <w:end w:w="120" w:type="dxa"/>
            </w:tcMar>
            <w:shd w:fill="312E81"/>
          </w:tcPr>
          <w:p>
            <w:pPr>
              <w:spacing w:after="0" w:before="0"/>
            </w:pPr>
            <w:r>
              <w:rPr>
                <w:rFonts w:ascii="Aptos" w:hAnsi="Aptos"/>
                <w:b/>
                <w:color w:val="FFFFFF"/>
                <w:sz w:val="18"/>
              </w:rPr>
              <w:t>Boundary</w:t>
            </w:r>
          </w:p>
        </w:tc>
        <w:tc>
          <w:tcPr>
            <w:tcW w:type="dxa" w:w="7488"/>
            <w:vAlign w:val="center"/>
            <w:tcMar>
              <w:top w:w="100" w:type="dxa"/>
              <w:start w:w="120" w:type="dxa"/>
              <w:bottom w:w="100" w:type="dxa"/>
              <w:end w:w="120" w:type="dxa"/>
            </w:tcMar>
            <w:shd w:fill="312E81"/>
          </w:tcPr>
          <w:p>
            <w:pPr>
              <w:spacing w:after="0" w:before="0"/>
            </w:pPr>
            <w:r>
              <w:rPr>
                <w:rFonts w:ascii="Aptos" w:hAnsi="Aptos"/>
                <w:b/>
                <w:color w:val="FFFFFF"/>
                <w:sz w:val="18"/>
              </w:rPr>
              <w:t>Rule</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Personal</w:t>
            </w:r>
          </w:p>
        </w:tc>
        <w:tc>
          <w:tcPr>
            <w:tcW w:type="dxa" w:w="7488"/>
            <w:vAlign w:val="center"/>
            <w:tcMar>
              <w:top w:w="100" w:type="dxa"/>
              <w:start w:w="120" w:type="dxa"/>
              <w:bottom w:w="100" w:type="dxa"/>
              <w:end w:w="120" w:type="dxa"/>
            </w:tcMar>
          </w:tcPr>
          <w:p>
            <w:pPr>
              <w:spacing w:after="0" w:before="0"/>
            </w:pPr>
            <w:r>
              <w:rPr>
                <w:rFonts w:ascii="Aptos" w:hAnsi="Aptos"/>
                <w:sz w:val="18"/>
              </w:rPr>
              <w:t>User isolation</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Group</w:t>
            </w:r>
          </w:p>
        </w:tc>
        <w:tc>
          <w:tcPr>
            <w:tcW w:type="dxa" w:w="7488"/>
            <w:vAlign w:val="center"/>
            <w:tcMar>
              <w:top w:w="100" w:type="dxa"/>
              <w:start w:w="120" w:type="dxa"/>
              <w:bottom w:w="100" w:type="dxa"/>
              <w:end w:w="120" w:type="dxa"/>
            </w:tcMar>
          </w:tcPr>
          <w:p>
            <w:pPr>
              <w:spacing w:after="0" w:before="0"/>
            </w:pPr>
            <w:r>
              <w:rPr>
                <w:rFonts w:ascii="Aptos" w:hAnsi="Aptos"/>
                <w:sz w:val="18"/>
              </w:rPr>
              <w:t>Same-Moment active Participant isolation</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Business</w:t>
            </w:r>
          </w:p>
        </w:tc>
        <w:tc>
          <w:tcPr>
            <w:tcW w:type="dxa" w:w="7488"/>
            <w:vAlign w:val="center"/>
            <w:tcMar>
              <w:top w:w="100" w:type="dxa"/>
              <w:start w:w="120" w:type="dxa"/>
              <w:bottom w:w="100" w:type="dxa"/>
              <w:end w:w="120" w:type="dxa"/>
            </w:tcMar>
          </w:tcPr>
          <w:p>
            <w:pPr>
              <w:spacing w:after="0" w:before="0"/>
            </w:pPr>
            <w:r>
              <w:rPr>
                <w:rFonts w:ascii="Aptos" w:hAnsi="Aptos"/>
                <w:sz w:val="18"/>
              </w:rPr>
              <w:t>Same-Company active Membership isolation</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Finance</w:t>
            </w:r>
          </w:p>
        </w:tc>
        <w:tc>
          <w:tcPr>
            <w:tcW w:type="dxa" w:w="7488"/>
            <w:vAlign w:val="center"/>
            <w:tcMar>
              <w:top w:w="100" w:type="dxa"/>
              <w:start w:w="120" w:type="dxa"/>
              <w:bottom w:w="100" w:type="dxa"/>
              <w:end w:w="120" w:type="dxa"/>
            </w:tcMar>
          </w:tcPr>
          <w:p>
            <w:pPr>
              <w:spacing w:after="0" w:before="0"/>
            </w:pPr>
            <w:r>
              <w:rPr>
                <w:rFonts w:ascii="Aptos" w:hAnsi="Aptos"/>
                <w:sz w:val="18"/>
              </w:rPr>
              <w:t>Resolved Personal / Group / Business ownership</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Projection</w:t>
            </w:r>
          </w:p>
        </w:tc>
        <w:tc>
          <w:tcPr>
            <w:tcW w:type="dxa" w:w="7488"/>
            <w:vAlign w:val="center"/>
            <w:tcMar>
              <w:top w:w="100" w:type="dxa"/>
              <w:start w:w="120" w:type="dxa"/>
              <w:bottom w:w="100" w:type="dxa"/>
              <w:end w:w="120" w:type="dxa"/>
            </w:tcMar>
          </w:tcPr>
          <w:p>
            <w:pPr>
              <w:spacing w:after="0" w:before="0"/>
            </w:pPr>
            <w:r>
              <w:rPr>
                <w:rFonts w:ascii="Aptos" w:hAnsi="Aptos"/>
                <w:sz w:val="18"/>
              </w:rPr>
              <w:t>Mirrors source-domain security</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AI</w:t>
            </w:r>
          </w:p>
        </w:tc>
        <w:tc>
          <w:tcPr>
            <w:tcW w:type="dxa" w:w="7488"/>
            <w:vAlign w:val="center"/>
            <w:tcMar>
              <w:top w:w="100" w:type="dxa"/>
              <w:start w:w="120" w:type="dxa"/>
              <w:bottom w:w="100" w:type="dxa"/>
              <w:end w:w="120" w:type="dxa"/>
            </w:tcMar>
          </w:tcPr>
          <w:p>
            <w:pPr>
              <w:spacing w:after="0" w:before="0"/>
            </w:pPr>
            <w:r>
              <w:rPr>
                <w:rFonts w:ascii="Aptos" w:hAnsi="Aptos"/>
                <w:sz w:val="18"/>
              </w:rPr>
              <w:t>Governed context; non-canonical; execution reauthorized</w:t>
            </w:r>
          </w:p>
        </w:tc>
      </w:tr>
      <w:tr>
        <w:tc>
          <w:tcPr>
            <w:tcW w:type="dxa" w:w="2592"/>
            <w:vAlign w:val="center"/>
            <w:tcMar>
              <w:top w:w="100" w:type="dxa"/>
              <w:start w:w="120" w:type="dxa"/>
              <w:bottom w:w="100" w:type="dxa"/>
              <w:end w:w="120" w:type="dxa"/>
            </w:tcMar>
          </w:tcPr>
          <w:p>
            <w:pPr>
              <w:spacing w:after="0" w:before="0"/>
            </w:pPr>
            <w:r>
              <w:rPr>
                <w:rFonts w:ascii="Aptos" w:hAnsi="Aptos"/>
                <w:b/>
                <w:color w:val="312E81"/>
                <w:sz w:val="18"/>
              </w:rPr>
              <w:t>Workers</w:t>
            </w:r>
          </w:p>
        </w:tc>
        <w:tc>
          <w:tcPr>
            <w:tcW w:type="dxa" w:w="7488"/>
            <w:vAlign w:val="center"/>
            <w:tcMar>
              <w:top w:w="100" w:type="dxa"/>
              <w:start w:w="120" w:type="dxa"/>
              <w:bottom w:w="100" w:type="dxa"/>
              <w:end w:w="120" w:type="dxa"/>
            </w:tcMar>
          </w:tcPr>
          <w:p>
            <w:pPr>
              <w:spacing w:after="0" w:before="0"/>
            </w:pPr>
            <w:r>
              <w:rPr>
                <w:rFonts w:ascii="Aptos" w:hAnsi="Aptos"/>
                <w:sz w:val="18"/>
              </w:rPr>
              <w:t>Least privilege; no broad canonical mutation</w:t>
            </w:r>
          </w:p>
        </w:tc>
      </w:tr>
    </w:tbl>
    <w:p>
      <w:r>
        <w:t>RLS and Governance remain complementary. RLS restricts database row visibility; Governance decides whether a business action is permitted. A privileged backend or Supabase service identity must still resolve the verified user and reauthorize the requested scope before executing a command.</w:t>
      </w:r>
    </w:p>
    <w:p>
      <w:pPr>
        <w:pStyle w:val="Heading1"/>
        <w:keepNext/>
      </w:pPr>
      <w:r>
        <w:t>9. Recommended Dokploy Service Layout</w:t>
      </w:r>
    </w:p>
    <w:tbl>
      <w:tblPr>
        <w:tblW w:type="auto" w:w="0"/>
        <w:jc w:val="center"/>
        <w:tblLayout w:type="fixed"/>
        <w:tblLook w:firstColumn="1" w:firstRow="1" w:lastColumn="0" w:lastRow="0" w:noHBand="0" w:noVBand="1" w:val="04A0"/>
      </w:tblPr>
      <w:tblGrid>
        <w:gridCol w:w="3360"/>
        <w:gridCol w:w="3360"/>
        <w:gridCol w:w="3360"/>
      </w:tblGrid>
      <w:tr>
        <w:tc>
          <w:tcPr>
            <w:tcW w:type="dxa" w:w="2448"/>
            <w:vAlign w:val="center"/>
            <w:tcMar>
              <w:top w:w="100" w:type="dxa"/>
              <w:start w:w="120" w:type="dxa"/>
              <w:bottom w:w="100" w:type="dxa"/>
              <w:end w:w="120" w:type="dxa"/>
            </w:tcMar>
            <w:shd w:fill="312E81"/>
          </w:tcPr>
          <w:p>
            <w:pPr>
              <w:spacing w:after="0" w:before="0"/>
            </w:pPr>
            <w:r>
              <w:rPr>
                <w:rFonts w:ascii="Aptos" w:hAnsi="Aptos"/>
                <w:b/>
                <w:color w:val="FFFFFF"/>
                <w:sz w:val="18"/>
              </w:rPr>
              <w:t>Container</w:t>
            </w:r>
          </w:p>
        </w:tc>
        <w:tc>
          <w:tcPr>
            <w:tcW w:type="dxa" w:w="2016"/>
            <w:vAlign w:val="center"/>
            <w:tcMar>
              <w:top w:w="100" w:type="dxa"/>
              <w:start w:w="120" w:type="dxa"/>
              <w:bottom w:w="100" w:type="dxa"/>
              <w:end w:w="120" w:type="dxa"/>
            </w:tcMar>
            <w:shd w:fill="312E81"/>
          </w:tcPr>
          <w:p>
            <w:pPr>
              <w:spacing w:after="0" w:before="0"/>
            </w:pPr>
            <w:r>
              <w:rPr>
                <w:rFonts w:ascii="Aptos" w:hAnsi="Aptos"/>
                <w:b/>
                <w:color w:val="FFFFFF"/>
                <w:sz w:val="18"/>
              </w:rPr>
              <w:t>Runtime</w:t>
            </w:r>
          </w:p>
        </w:tc>
        <w:tc>
          <w:tcPr>
            <w:tcW w:type="dxa" w:w="5616"/>
            <w:vAlign w:val="center"/>
            <w:tcMar>
              <w:top w:w="100" w:type="dxa"/>
              <w:start w:w="120" w:type="dxa"/>
              <w:bottom w:w="100" w:type="dxa"/>
              <w:end w:w="120" w:type="dxa"/>
            </w:tcMar>
            <w:shd w:fill="312E81"/>
          </w:tcPr>
          <w:p>
            <w:pPr>
              <w:spacing w:after="0" w:before="0"/>
            </w:pPr>
            <w:r>
              <w:rPr>
                <w:rFonts w:ascii="Aptos" w:hAnsi="Aptos"/>
                <w:b/>
                <w:color w:val="FFFFFF"/>
                <w:sz w:val="18"/>
              </w:rPr>
              <w:t>Responsibility</w:t>
            </w:r>
          </w:p>
        </w:tc>
      </w:tr>
      <w:tr>
        <w:tc>
          <w:tcPr>
            <w:tcW w:type="dxa" w:w="2448"/>
            <w:vAlign w:val="center"/>
            <w:tcMar>
              <w:top w:w="100" w:type="dxa"/>
              <w:start w:w="120" w:type="dxa"/>
              <w:bottom w:w="100" w:type="dxa"/>
              <w:end w:w="120" w:type="dxa"/>
            </w:tcMar>
          </w:tcPr>
          <w:p>
            <w:pPr>
              <w:spacing w:after="0" w:before="0"/>
            </w:pPr>
            <w:r>
              <w:rPr>
                <w:rFonts w:ascii="Aptos" w:hAnsi="Aptos"/>
                <w:b/>
                <w:color w:val="312E81"/>
                <w:sz w:val="18"/>
              </w:rPr>
              <w:t>momentra-api</w:t>
            </w:r>
          </w:p>
        </w:tc>
        <w:tc>
          <w:tcPr>
            <w:tcW w:type="dxa" w:w="2016"/>
            <w:vAlign w:val="center"/>
            <w:tcMar>
              <w:top w:w="100" w:type="dxa"/>
              <w:start w:w="120" w:type="dxa"/>
              <w:bottom w:w="100" w:type="dxa"/>
              <w:end w:w="120" w:type="dxa"/>
            </w:tcMar>
          </w:tcPr>
          <w:p>
            <w:pPr>
              <w:spacing w:after="0" w:before="0"/>
            </w:pPr>
            <w:r>
              <w:rPr>
                <w:rFonts w:ascii="Aptos" w:hAnsi="Aptos"/>
                <w:sz w:val="18"/>
              </w:rPr>
              <w:t>TypeScript/Node.js</w:t>
            </w:r>
          </w:p>
        </w:tc>
        <w:tc>
          <w:tcPr>
            <w:tcW w:type="dxa" w:w="5616"/>
            <w:vAlign w:val="center"/>
            <w:tcMar>
              <w:top w:w="100" w:type="dxa"/>
              <w:start w:w="120" w:type="dxa"/>
              <w:bottom w:w="100" w:type="dxa"/>
              <w:end w:w="120" w:type="dxa"/>
            </w:tcMar>
          </w:tcPr>
          <w:p>
            <w:pPr>
              <w:spacing w:after="0" w:before="0"/>
            </w:pPr>
            <w:r>
              <w:rPr>
                <w:rFonts w:ascii="Aptos" w:hAnsi="Aptos"/>
                <w:sz w:val="18"/>
              </w:rPr>
              <w:t>Main HTTP API/BFF; canonical command orchestration; projection reads</w:t>
            </w:r>
          </w:p>
        </w:tc>
      </w:tr>
      <w:tr>
        <w:tc>
          <w:tcPr>
            <w:tcW w:type="dxa" w:w="2448"/>
            <w:vAlign w:val="center"/>
            <w:tcMar>
              <w:top w:w="100" w:type="dxa"/>
              <w:start w:w="120" w:type="dxa"/>
              <w:bottom w:w="100" w:type="dxa"/>
              <w:end w:w="120" w:type="dxa"/>
            </w:tcMar>
          </w:tcPr>
          <w:p>
            <w:pPr>
              <w:spacing w:after="0" w:before="0"/>
            </w:pPr>
            <w:r>
              <w:rPr>
                <w:rFonts w:ascii="Aptos" w:hAnsi="Aptos"/>
                <w:b/>
                <w:color w:val="312E81"/>
                <w:sz w:val="18"/>
              </w:rPr>
              <w:t>outbox-worker</w:t>
            </w:r>
          </w:p>
        </w:tc>
        <w:tc>
          <w:tcPr>
            <w:tcW w:type="dxa" w:w="2016"/>
            <w:vAlign w:val="center"/>
            <w:tcMar>
              <w:top w:w="100" w:type="dxa"/>
              <w:start w:w="120" w:type="dxa"/>
              <w:bottom w:w="100" w:type="dxa"/>
              <w:end w:w="120" w:type="dxa"/>
            </w:tcMar>
          </w:tcPr>
          <w:p>
            <w:pPr>
              <w:spacing w:after="0" w:before="0"/>
            </w:pPr>
            <w:r>
              <w:rPr>
                <w:rFonts w:ascii="Aptos" w:hAnsi="Aptos"/>
                <w:sz w:val="18"/>
              </w:rPr>
              <w:t>TypeScript</w:t>
            </w:r>
          </w:p>
        </w:tc>
        <w:tc>
          <w:tcPr>
            <w:tcW w:type="dxa" w:w="5616"/>
            <w:vAlign w:val="center"/>
            <w:tcMar>
              <w:top w:w="100" w:type="dxa"/>
              <w:start w:w="120" w:type="dxa"/>
              <w:bottom w:w="100" w:type="dxa"/>
              <w:end w:w="120" w:type="dxa"/>
            </w:tcMar>
          </w:tcPr>
          <w:p>
            <w:pPr>
              <w:spacing w:after="0" w:before="0"/>
            </w:pPr>
            <w:r>
              <w:rPr>
                <w:rFonts w:ascii="Aptos" w:hAnsi="Aptos"/>
                <w:sz w:val="18"/>
              </w:rPr>
              <w:t>Outbox claim/publish/retry/dead-letter processing</w:t>
            </w:r>
          </w:p>
        </w:tc>
      </w:tr>
      <w:tr>
        <w:tc>
          <w:tcPr>
            <w:tcW w:type="dxa" w:w="2448"/>
            <w:vAlign w:val="center"/>
            <w:tcMar>
              <w:top w:w="100" w:type="dxa"/>
              <w:start w:w="120" w:type="dxa"/>
              <w:bottom w:w="100" w:type="dxa"/>
              <w:end w:w="120" w:type="dxa"/>
            </w:tcMar>
          </w:tcPr>
          <w:p>
            <w:pPr>
              <w:spacing w:after="0" w:before="0"/>
            </w:pPr>
            <w:r>
              <w:rPr>
                <w:rFonts w:ascii="Aptos" w:hAnsi="Aptos"/>
                <w:b/>
                <w:color w:val="312E81"/>
                <w:sz w:val="18"/>
              </w:rPr>
              <w:t>analytics-service / worker</w:t>
            </w:r>
          </w:p>
        </w:tc>
        <w:tc>
          <w:tcPr>
            <w:tcW w:type="dxa" w:w="2016"/>
            <w:vAlign w:val="center"/>
            <w:tcMar>
              <w:top w:w="100" w:type="dxa"/>
              <w:start w:w="120" w:type="dxa"/>
              <w:bottom w:w="100" w:type="dxa"/>
              <w:end w:w="120" w:type="dxa"/>
            </w:tcMar>
          </w:tcPr>
          <w:p>
            <w:pPr>
              <w:spacing w:after="0" w:before="0"/>
            </w:pPr>
            <w:r>
              <w:rPr>
                <w:rFonts w:ascii="Aptos" w:hAnsi="Aptos"/>
                <w:sz w:val="18"/>
              </w:rPr>
              <w:t>FastAPI/Python</w:t>
            </w:r>
          </w:p>
        </w:tc>
        <w:tc>
          <w:tcPr>
            <w:tcW w:type="dxa" w:w="5616"/>
            <w:vAlign w:val="center"/>
            <w:tcMar>
              <w:top w:w="100" w:type="dxa"/>
              <w:start w:w="120" w:type="dxa"/>
              <w:bottom w:w="100" w:type="dxa"/>
              <w:end w:w="120" w:type="dxa"/>
            </w:tcMar>
          </w:tcPr>
          <w:p>
            <w:pPr>
              <w:spacing w:after="0" w:before="0"/>
            </w:pPr>
            <w:r>
              <w:rPr>
                <w:rFonts w:ascii="Aptos" w:hAnsi="Aptos"/>
                <w:sz w:val="18"/>
              </w:rPr>
              <w:t>Metric computation and advanced analytics</w:t>
            </w:r>
          </w:p>
        </w:tc>
      </w:tr>
      <w:tr>
        <w:tc>
          <w:tcPr>
            <w:tcW w:type="dxa" w:w="2448"/>
            <w:vAlign w:val="center"/>
            <w:tcMar>
              <w:top w:w="100" w:type="dxa"/>
              <w:start w:w="120" w:type="dxa"/>
              <w:bottom w:w="100" w:type="dxa"/>
              <w:end w:w="120" w:type="dxa"/>
            </w:tcMar>
          </w:tcPr>
          <w:p>
            <w:pPr>
              <w:spacing w:after="0" w:before="0"/>
            </w:pPr>
            <w:r>
              <w:rPr>
                <w:rFonts w:ascii="Aptos" w:hAnsi="Aptos"/>
                <w:b/>
                <w:color w:val="312E81"/>
                <w:sz w:val="18"/>
              </w:rPr>
              <w:t>memory-worker</w:t>
            </w:r>
          </w:p>
        </w:tc>
        <w:tc>
          <w:tcPr>
            <w:tcW w:type="dxa" w:w="2016"/>
            <w:vAlign w:val="center"/>
            <w:tcMar>
              <w:top w:w="100" w:type="dxa"/>
              <w:start w:w="120" w:type="dxa"/>
              <w:bottom w:w="100" w:type="dxa"/>
              <w:end w:w="120" w:type="dxa"/>
            </w:tcMar>
          </w:tcPr>
          <w:p>
            <w:pPr>
              <w:spacing w:after="0" w:before="0"/>
            </w:pPr>
            <w:r>
              <w:rPr>
                <w:rFonts w:ascii="Aptos" w:hAnsi="Aptos"/>
                <w:sz w:val="18"/>
              </w:rPr>
              <w:t>TypeScript or Python</w:t>
            </w:r>
          </w:p>
        </w:tc>
        <w:tc>
          <w:tcPr>
            <w:tcW w:type="dxa" w:w="5616"/>
            <w:vAlign w:val="center"/>
            <w:tcMar>
              <w:top w:w="100" w:type="dxa"/>
              <w:start w:w="120" w:type="dxa"/>
              <w:bottom w:w="100" w:type="dxa"/>
              <w:end w:w="120" w:type="dxa"/>
            </w:tcMar>
          </w:tcPr>
          <w:p>
            <w:pPr>
              <w:spacing w:after="0" w:before="0"/>
            </w:pPr>
            <w:r>
              <w:rPr>
                <w:rFonts w:ascii="Aptos" w:hAnsi="Aptos"/>
                <w:sz w:val="18"/>
              </w:rPr>
              <w:t>Memory/Pattern/Learning processing</w:t>
            </w:r>
          </w:p>
        </w:tc>
      </w:tr>
      <w:tr>
        <w:tc>
          <w:tcPr>
            <w:tcW w:type="dxa" w:w="2448"/>
            <w:vAlign w:val="center"/>
            <w:tcMar>
              <w:top w:w="100" w:type="dxa"/>
              <w:start w:w="120" w:type="dxa"/>
              <w:bottom w:w="100" w:type="dxa"/>
              <w:end w:w="120" w:type="dxa"/>
            </w:tcMar>
          </w:tcPr>
          <w:p>
            <w:pPr>
              <w:spacing w:after="0" w:before="0"/>
            </w:pPr>
            <w:r>
              <w:rPr>
                <w:rFonts w:ascii="Aptos" w:hAnsi="Aptos"/>
                <w:b/>
                <w:color w:val="312E81"/>
                <w:sz w:val="18"/>
              </w:rPr>
              <w:t>ai-service / worker</w:t>
            </w:r>
          </w:p>
        </w:tc>
        <w:tc>
          <w:tcPr>
            <w:tcW w:type="dxa" w:w="2016"/>
            <w:vAlign w:val="center"/>
            <w:tcMar>
              <w:top w:w="100" w:type="dxa"/>
              <w:start w:w="120" w:type="dxa"/>
              <w:bottom w:w="100" w:type="dxa"/>
              <w:end w:w="120" w:type="dxa"/>
            </w:tcMar>
          </w:tcPr>
          <w:p>
            <w:pPr>
              <w:spacing w:after="0" w:before="0"/>
            </w:pPr>
            <w:r>
              <w:rPr>
                <w:rFonts w:ascii="Aptos" w:hAnsi="Aptos"/>
                <w:sz w:val="18"/>
              </w:rPr>
              <w:t>FastAPI/Python</w:t>
            </w:r>
          </w:p>
        </w:tc>
        <w:tc>
          <w:tcPr>
            <w:tcW w:type="dxa" w:w="5616"/>
            <w:vAlign w:val="center"/>
            <w:tcMar>
              <w:top w:w="100" w:type="dxa"/>
              <w:start w:w="120" w:type="dxa"/>
              <w:bottom w:w="100" w:type="dxa"/>
              <w:end w:w="120" w:type="dxa"/>
            </w:tcMar>
          </w:tcPr>
          <w:p>
            <w:pPr>
              <w:spacing w:after="0" w:before="0"/>
            </w:pPr>
            <w:r>
              <w:rPr>
                <w:rFonts w:ascii="Aptos" w:hAnsi="Aptos"/>
                <w:sz w:val="18"/>
              </w:rPr>
              <w:t>AI context, inference, recommendations and proposals</w:t>
            </w:r>
          </w:p>
        </w:tc>
      </w:tr>
      <w:tr>
        <w:tc>
          <w:tcPr>
            <w:tcW w:type="dxa" w:w="2448"/>
            <w:vAlign w:val="center"/>
            <w:tcMar>
              <w:top w:w="100" w:type="dxa"/>
              <w:start w:w="120" w:type="dxa"/>
              <w:bottom w:w="100" w:type="dxa"/>
              <w:end w:w="120" w:type="dxa"/>
            </w:tcMar>
          </w:tcPr>
          <w:p>
            <w:pPr>
              <w:spacing w:after="0" w:before="0"/>
            </w:pPr>
            <w:r>
              <w:rPr>
                <w:rFonts w:ascii="Aptos" w:hAnsi="Aptos"/>
                <w:b/>
                <w:color w:val="312E81"/>
                <w:sz w:val="18"/>
              </w:rPr>
              <w:t>projection-worker</w:t>
            </w:r>
          </w:p>
        </w:tc>
        <w:tc>
          <w:tcPr>
            <w:tcW w:type="dxa" w:w="2016"/>
            <w:vAlign w:val="center"/>
            <w:tcMar>
              <w:top w:w="100" w:type="dxa"/>
              <w:start w:w="120" w:type="dxa"/>
              <w:bottom w:w="100" w:type="dxa"/>
              <w:end w:w="120" w:type="dxa"/>
            </w:tcMar>
          </w:tcPr>
          <w:p>
            <w:pPr>
              <w:spacing w:after="0" w:before="0"/>
            </w:pPr>
            <w:r>
              <w:rPr>
                <w:rFonts w:ascii="Aptos" w:hAnsi="Aptos"/>
                <w:sz w:val="18"/>
              </w:rPr>
              <w:t>TypeScript</w:t>
            </w:r>
          </w:p>
        </w:tc>
        <w:tc>
          <w:tcPr>
            <w:tcW w:type="dxa" w:w="5616"/>
            <w:vAlign w:val="center"/>
            <w:tcMar>
              <w:top w:w="100" w:type="dxa"/>
              <w:start w:w="120" w:type="dxa"/>
              <w:bottom w:w="100" w:type="dxa"/>
              <w:end w:w="120" w:type="dxa"/>
            </w:tcMar>
          </w:tcPr>
          <w:p>
            <w:pPr>
              <w:spacing w:after="0" w:before="0"/>
            </w:pPr>
            <w:r>
              <w:rPr>
                <w:rFonts w:ascii="Aptos" w:hAnsi="Aptos"/>
                <w:sz w:val="18"/>
              </w:rPr>
              <w:t>Event-driven projection maintenance and rebuild tooling</w:t>
            </w:r>
          </w:p>
        </w:tc>
      </w:tr>
    </w:tbl>
    <w:p>
      <w:pPr>
        <w:pStyle w:val="Heading2"/>
        <w:keepNext/>
      </w:pPr>
      <w:r>
        <w:t>9.1 Initial deployment simplification</w:t>
      </w:r>
    </w:p>
    <w:p>
      <w:r>
        <w:t>These responsibilities do not require six separate machines. They can run as separate Dokploy containers on the same Hostinger VPS initially. Separation is primarily for deployment, scaling, failure isolation and least-privilege access. Scale containers independently only when Phase 10.9 measurements justify it.</w:t>
      </w:r>
    </w:p>
    <w:p>
      <w:pPr>
        <w:pStyle w:val="Heading1"/>
        <w:keepNext/>
      </w:pPr>
      <w:r>
        <w:t>10. Database Connectivity, Latency and Pooling</w:t>
      </w:r>
    </w:p>
    <w:p>
      <w:pPr>
        <w:pStyle w:val="ListBullet"/>
        <w:spacing w:after="60"/>
      </w:pPr>
      <w:r>
        <w:t>Use persistent pooled PostgreSQL connections from the backend and workers.</w:t>
      </w:r>
    </w:p>
    <w:p>
      <w:pPr>
        <w:pStyle w:val="ListBullet"/>
        <w:spacing w:after="60"/>
      </w:pPr>
      <w:r>
        <w:t>Budget database connections globally across all API and worker replicas; do not size each pool independently.</w:t>
      </w:r>
    </w:p>
    <w:p>
      <w:pPr>
        <w:pStyle w:val="ListBullet"/>
        <w:spacing w:after="60"/>
      </w:pPr>
      <w:r>
        <w:t>Measure connection-acquisition wait separately from SQL execution time.</w:t>
      </w:r>
    </w:p>
    <w:p>
      <w:pPr>
        <w:pStyle w:val="ListBullet"/>
        <w:spacing w:after="60"/>
      </w:pPr>
      <w:r>
        <w:t>Place Hostinger and Supabase in geographically close regions where practical.</w:t>
      </w:r>
    </w:p>
    <w:p>
      <w:pPr>
        <w:pStyle w:val="ListBullet"/>
        <w:spacing w:after="60"/>
      </w:pPr>
      <w:r>
        <w:t>Keep primary screens on projection tables and small bounded query sets.</w:t>
      </w:r>
    </w:p>
    <w:p>
      <w:pPr>
        <w:pStyle w:val="ListBullet"/>
        <w:spacing w:after="60"/>
      </w:pPr>
      <w:r>
        <w:t>Avoid N+1 query behavior; one Moment list must not create one database round trip per Moment.</w:t>
      </w:r>
    </w:p>
    <w:p>
      <w:pPr>
        <w:pStyle w:val="ListBullet"/>
        <w:spacing w:after="60"/>
      </w:pPr>
      <w:r>
        <w:t>Do not add Redis before establishing the projection baseline and measuring a real cache-worthy bottleneck.</w:t>
      </w:r>
    </w:p>
    <w:p>
      <w:pPr>
        <w:pStyle w:val="Heading1"/>
        <w:keepNext/>
      </w:pPr>
      <w:r>
        <w:t>11. API and Service Boundary Rules</w:t>
      </w:r>
    </w:p>
    <w:tbl>
      <w:tblPr>
        <w:tblW w:type="auto" w:w="0"/>
        <w:jc w:val="center"/>
        <w:tblLayout w:type="fixed"/>
        <w:tblLook w:firstColumn="1" w:firstRow="1" w:lastColumn="0" w:lastRow="0" w:noHBand="0" w:noVBand="1" w:val="04A0"/>
      </w:tblPr>
      <w:tblGrid>
        <w:gridCol w:w="5040"/>
        <w:gridCol w:w="5040"/>
      </w:tblGrid>
      <w:tr>
        <w:tc>
          <w:tcPr>
            <w:tcW w:type="dxa" w:w="2880"/>
            <w:vAlign w:val="center"/>
            <w:tcMar>
              <w:top w:w="100" w:type="dxa"/>
              <w:start w:w="120" w:type="dxa"/>
              <w:bottom w:w="100" w:type="dxa"/>
              <w:end w:w="120" w:type="dxa"/>
            </w:tcMar>
            <w:shd w:fill="312E81"/>
          </w:tcPr>
          <w:p>
            <w:pPr>
              <w:spacing w:after="0" w:before="0"/>
            </w:pPr>
            <w:r>
              <w:rPr>
                <w:rFonts w:ascii="Aptos" w:hAnsi="Aptos"/>
                <w:b/>
                <w:color w:val="FFFFFF"/>
                <w:sz w:val="18"/>
              </w:rPr>
              <w:t>Rule</w:t>
            </w:r>
          </w:p>
        </w:tc>
        <w:tc>
          <w:tcPr>
            <w:tcW w:type="dxa" w:w="7200"/>
            <w:vAlign w:val="center"/>
            <w:tcMar>
              <w:top w:w="100" w:type="dxa"/>
              <w:start w:w="120" w:type="dxa"/>
              <w:bottom w:w="100" w:type="dxa"/>
              <w:end w:w="120" w:type="dxa"/>
            </w:tcMar>
            <w:shd w:fill="312E81"/>
          </w:tcPr>
          <w:p>
            <w:pPr>
              <w:spacing w:after="0" w:before="0"/>
            </w:pPr>
            <w:r>
              <w:rPr>
                <w:rFonts w:ascii="Aptos" w:hAnsi="Aptos"/>
                <w:b/>
                <w:color w:val="FFFFFF"/>
                <w:sz w:val="18"/>
              </w:rPr>
              <w:t>Momentra interpretation</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Keep synchronous</w:t>
            </w:r>
          </w:p>
        </w:tc>
        <w:tc>
          <w:tcPr>
            <w:tcW w:type="dxa" w:w="7200"/>
            <w:vAlign w:val="center"/>
            <w:tcMar>
              <w:top w:w="100" w:type="dxa"/>
              <w:start w:w="120" w:type="dxa"/>
              <w:bottom w:w="100" w:type="dxa"/>
              <w:end w:w="120" w:type="dxa"/>
            </w:tcMar>
          </w:tcPr>
          <w:p>
            <w:pPr>
              <w:spacing w:after="0" w:before="0"/>
            </w:pPr>
            <w:r>
              <w:rPr>
                <w:rFonts w:ascii="Aptos" w:hAnsi="Aptos"/>
                <w:sz w:val="18"/>
              </w:rPr>
              <w:t>Auth, Moment, Work, Finance, Governance, projection reads</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Prefer asynchronous</w:t>
            </w:r>
          </w:p>
        </w:tc>
        <w:tc>
          <w:tcPr>
            <w:tcW w:type="dxa" w:w="7200"/>
            <w:vAlign w:val="center"/>
            <w:tcMar>
              <w:top w:w="100" w:type="dxa"/>
              <w:start w:w="120" w:type="dxa"/>
              <w:bottom w:w="100" w:type="dxa"/>
              <w:end w:w="120" w:type="dxa"/>
            </w:tcMar>
          </w:tcPr>
          <w:p>
            <w:pPr>
              <w:spacing w:after="0" w:before="0"/>
            </w:pPr>
            <w:r>
              <w:rPr>
                <w:rFonts w:ascii="Aptos" w:hAnsi="Aptos"/>
                <w:sz w:val="18"/>
              </w:rPr>
              <w:t>Analytics, Memory, AI, projection refresh</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Do not add an extra service hop</w:t>
            </w:r>
          </w:p>
        </w:tc>
        <w:tc>
          <w:tcPr>
            <w:tcW w:type="dxa" w:w="7200"/>
            <w:vAlign w:val="center"/>
            <w:tcMar>
              <w:top w:w="100" w:type="dxa"/>
              <w:start w:w="120" w:type="dxa"/>
              <w:bottom w:w="100" w:type="dxa"/>
              <w:end w:w="120" w:type="dxa"/>
            </w:tcMar>
          </w:tcPr>
          <w:p>
            <w:pPr>
              <w:spacing w:after="0" w:before="0"/>
            </w:pPr>
            <w:r>
              <w:rPr>
                <w:rFonts w:ascii="Aptos" w:hAnsi="Aptos"/>
                <w:sz w:val="18"/>
              </w:rPr>
              <w:t>For a command that can be validated and committed in one Node -&gt; PostgreSQL transaction</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Use FastAPI when</w:t>
            </w:r>
          </w:p>
        </w:tc>
        <w:tc>
          <w:tcPr>
            <w:tcW w:type="dxa" w:w="7200"/>
            <w:vAlign w:val="center"/>
            <w:tcMar>
              <w:top w:w="100" w:type="dxa"/>
              <w:start w:w="120" w:type="dxa"/>
              <w:bottom w:w="100" w:type="dxa"/>
              <w:end w:w="120" w:type="dxa"/>
            </w:tcMar>
          </w:tcPr>
          <w:p>
            <w:pPr>
              <w:spacing w:after="0" w:before="0"/>
            </w:pPr>
            <w:r>
              <w:rPr>
                <w:rFonts w:ascii="Aptos" w:hAnsi="Aptos"/>
                <w:sz w:val="18"/>
              </w:rPr>
              <w:t>Python libraries or model/analytics workloads provide material benefit</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Use events when</w:t>
            </w:r>
          </w:p>
        </w:tc>
        <w:tc>
          <w:tcPr>
            <w:tcW w:type="dxa" w:w="7200"/>
            <w:vAlign w:val="center"/>
            <w:tcMar>
              <w:top w:w="100" w:type="dxa"/>
              <w:start w:w="120" w:type="dxa"/>
              <w:bottom w:w="100" w:type="dxa"/>
              <w:end w:w="120" w:type="dxa"/>
            </w:tcMar>
          </w:tcPr>
          <w:p>
            <w:pPr>
              <w:spacing w:after="0" w:before="0"/>
            </w:pPr>
            <w:r>
              <w:rPr>
                <w:rFonts w:ascii="Aptos" w:hAnsi="Aptos"/>
                <w:sz w:val="18"/>
              </w:rPr>
              <w:t>The downstream result does not need to be committed before the user receives command success</w:t>
            </w:r>
          </w:p>
        </w:tc>
      </w:tr>
    </w:tbl>
    <w:p>
      <w:pPr>
        <w:pStyle w:val="Heading1"/>
        <w:keepNext/>
      </w:pPr>
      <w:r>
        <w:t>12. Operational Observability</w:t>
      </w:r>
    </w:p>
    <w:p>
      <w:r>
        <w:t>Deployment should expose enough telemetry to attribute latency and failures instead of guessing.</w:t>
      </w:r>
    </w:p>
    <w:p>
      <w:pPr>
        <w:pStyle w:val="ListBullet"/>
        <w:spacing w:after="60"/>
      </w:pPr>
      <w:r>
        <w:t>API p50 / p95 / p99 latency</w:t>
      </w:r>
    </w:p>
    <w:p>
      <w:pPr>
        <w:pStyle w:val="ListBullet"/>
        <w:spacing w:after="60"/>
      </w:pPr>
      <w:r>
        <w:t>Database connection pool active, idle and pending</w:t>
      </w:r>
    </w:p>
    <w:p>
      <w:pPr>
        <w:pStyle w:val="ListBullet"/>
        <w:spacing w:after="60"/>
      </w:pPr>
      <w:r>
        <w:t>Database query duration and slow-query log</w:t>
      </w:r>
    </w:p>
    <w:p>
      <w:pPr>
        <w:pStyle w:val="ListBullet"/>
        <w:spacing w:after="60"/>
      </w:pPr>
      <w:r>
        <w:t>Outbox pending, failed and dead-letter counts</w:t>
      </w:r>
    </w:p>
    <w:p>
      <w:pPr>
        <w:pStyle w:val="ListBullet"/>
        <w:spacing w:after="60"/>
      </w:pPr>
      <w:r>
        <w:t>Analytics execution duration and failure count</w:t>
      </w:r>
    </w:p>
    <w:p>
      <w:pPr>
        <w:pStyle w:val="ListBullet"/>
        <w:spacing w:after="60"/>
      </w:pPr>
      <w:r>
        <w:t>Projection lag and projection_state status</w:t>
      </w:r>
    </w:p>
    <w:p>
      <w:pPr>
        <w:pStyle w:val="ListBullet"/>
        <w:spacing w:after="60"/>
      </w:pPr>
      <w:r>
        <w:t>AI inference latency, failure rate and cost metadata</w:t>
      </w:r>
    </w:p>
    <w:p>
      <w:pPr>
        <w:pStyle w:val="ListBullet"/>
        <w:spacing w:after="60"/>
      </w:pPr>
      <w:r>
        <w:t>PostgreSQL active connections, lock waits and deadlocks</w:t>
      </w:r>
    </w:p>
    <w:p>
      <w:pPr>
        <w:pStyle w:val="ListBullet"/>
        <w:spacing w:after="60"/>
      </w:pPr>
      <w:r>
        <w:t>Worker restart and retry counts</w:t>
      </w:r>
    </w:p>
    <w:p>
      <w:pPr>
        <w:pStyle w:val="Heading1"/>
        <w:keepNext/>
      </w:pPr>
      <w:r>
        <w:t>13. Deployment Sequence</w:t>
      </w:r>
    </w:p>
    <w:tbl>
      <w:tblPr>
        <w:tblW w:type="auto" w:w="0"/>
        <w:jc w:val="center"/>
        <w:tblLayout w:type="fixed"/>
        <w:tblLook w:firstColumn="1" w:firstRow="1" w:lastColumn="0" w:lastRow="0" w:noHBand="0" w:noVBand="1" w:val="04A0"/>
      </w:tblPr>
      <w:tblGrid>
        <w:gridCol w:w="3360"/>
        <w:gridCol w:w="3360"/>
        <w:gridCol w:w="3360"/>
      </w:tblGrid>
      <w:tr>
        <w:tc>
          <w:tcPr>
            <w:tcW w:type="dxa" w:w="648"/>
            <w:vAlign w:val="center"/>
            <w:tcMar>
              <w:top w:w="100" w:type="dxa"/>
              <w:start w:w="120" w:type="dxa"/>
              <w:bottom w:w="100" w:type="dxa"/>
              <w:end w:w="120" w:type="dxa"/>
            </w:tcMar>
            <w:shd w:fill="312E81"/>
          </w:tcPr>
          <w:p>
            <w:pPr>
              <w:spacing w:after="0" w:before="0"/>
            </w:pPr>
            <w:r>
              <w:rPr>
                <w:rFonts w:ascii="Aptos" w:hAnsi="Aptos"/>
                <w:b/>
                <w:color w:val="FFFFFF"/>
                <w:sz w:val="18"/>
              </w:rPr>
              <w:t>#</w:t>
            </w:r>
          </w:p>
        </w:tc>
        <w:tc>
          <w:tcPr>
            <w:tcW w:type="dxa" w:w="2736"/>
            <w:vAlign w:val="center"/>
            <w:tcMar>
              <w:top w:w="100" w:type="dxa"/>
              <w:start w:w="120" w:type="dxa"/>
              <w:bottom w:w="100" w:type="dxa"/>
              <w:end w:w="120" w:type="dxa"/>
            </w:tcMar>
            <w:shd w:fill="312E81"/>
          </w:tcPr>
          <w:p>
            <w:pPr>
              <w:spacing w:after="0" w:before="0"/>
            </w:pPr>
            <w:r>
              <w:rPr>
                <w:rFonts w:ascii="Aptos" w:hAnsi="Aptos"/>
                <w:b/>
                <w:color w:val="FFFFFF"/>
                <w:sz w:val="18"/>
              </w:rPr>
              <w:t>Stage</w:t>
            </w:r>
          </w:p>
        </w:tc>
        <w:tc>
          <w:tcPr>
            <w:tcW w:type="dxa" w:w="6696"/>
            <w:vAlign w:val="center"/>
            <w:tcMar>
              <w:top w:w="100" w:type="dxa"/>
              <w:start w:w="120" w:type="dxa"/>
              <w:bottom w:w="100" w:type="dxa"/>
              <w:end w:w="120" w:type="dxa"/>
            </w:tcMar>
            <w:shd w:fill="312E81"/>
          </w:tcPr>
          <w:p>
            <w:pPr>
              <w:spacing w:after="0" w:before="0"/>
            </w:pPr>
            <w:r>
              <w:rPr>
                <w:rFonts w:ascii="Aptos" w:hAnsi="Aptos"/>
                <w:b/>
                <w:color w:val="FFFFFF"/>
                <w:sz w:val="18"/>
              </w:rPr>
              <w:t>Requirement</w:t>
            </w:r>
          </w:p>
        </w:tc>
      </w:tr>
      <w:tr>
        <w:tc>
          <w:tcPr>
            <w:tcW w:type="dxa" w:w="648"/>
            <w:vAlign w:val="center"/>
            <w:tcMar>
              <w:top w:w="100" w:type="dxa"/>
              <w:start w:w="120" w:type="dxa"/>
              <w:bottom w:w="100" w:type="dxa"/>
              <w:end w:w="120" w:type="dxa"/>
            </w:tcMar>
          </w:tcPr>
          <w:p>
            <w:pPr>
              <w:spacing w:after="0" w:before="0"/>
            </w:pPr>
            <w:r>
              <w:rPr>
                <w:rFonts w:ascii="Aptos" w:hAnsi="Aptos"/>
                <w:b/>
                <w:color w:val="312E81"/>
                <w:sz w:val="18"/>
              </w:rPr>
              <w:t>1</w:t>
            </w:r>
          </w:p>
        </w:tc>
        <w:tc>
          <w:tcPr>
            <w:tcW w:type="dxa" w:w="2736"/>
            <w:vAlign w:val="center"/>
            <w:tcMar>
              <w:top w:w="100" w:type="dxa"/>
              <w:start w:w="120" w:type="dxa"/>
              <w:bottom w:w="100" w:type="dxa"/>
              <w:end w:w="120" w:type="dxa"/>
            </w:tcMar>
          </w:tcPr>
          <w:p>
            <w:pPr>
              <w:spacing w:after="0" w:before="0"/>
            </w:pPr>
            <w:r>
              <w:rPr>
                <w:rFonts w:ascii="Aptos" w:hAnsi="Aptos"/>
                <w:sz w:val="18"/>
              </w:rPr>
              <w:t>Close database release blockers</w:t>
            </w:r>
          </w:p>
        </w:tc>
        <w:tc>
          <w:tcPr>
            <w:tcW w:type="dxa" w:w="6696"/>
            <w:vAlign w:val="center"/>
            <w:tcMar>
              <w:top w:w="100" w:type="dxa"/>
              <w:start w:w="120" w:type="dxa"/>
              <w:bottom w:w="100" w:type="dxa"/>
              <w:end w:w="120" w:type="dxa"/>
            </w:tcMar>
          </w:tcPr>
          <w:p>
            <w:pPr>
              <w:spacing w:after="0" w:before="0"/>
            </w:pPr>
            <w:r>
              <w:rPr>
                <w:rFonts w:ascii="Aptos" w:hAnsi="Aptos"/>
                <w:sz w:val="18"/>
              </w:rPr>
              <w:t>Finalize Analytics formulas/thresholds, policy rules, Quick Add subset reconciliation and role-permission reconciliation.</w:t>
            </w:r>
          </w:p>
        </w:tc>
      </w:tr>
      <w:tr>
        <w:tc>
          <w:tcPr>
            <w:tcW w:type="dxa" w:w="648"/>
            <w:vAlign w:val="center"/>
            <w:tcMar>
              <w:top w:w="100" w:type="dxa"/>
              <w:start w:w="120" w:type="dxa"/>
              <w:bottom w:w="100" w:type="dxa"/>
              <w:end w:w="120" w:type="dxa"/>
            </w:tcMar>
          </w:tcPr>
          <w:p>
            <w:pPr>
              <w:spacing w:after="0" w:before="0"/>
            </w:pPr>
            <w:r>
              <w:rPr>
                <w:rFonts w:ascii="Aptos" w:hAnsi="Aptos"/>
                <w:b/>
                <w:color w:val="312E81"/>
                <w:sz w:val="18"/>
              </w:rPr>
              <w:t>2</w:t>
            </w:r>
          </w:p>
        </w:tc>
        <w:tc>
          <w:tcPr>
            <w:tcW w:type="dxa" w:w="2736"/>
            <w:vAlign w:val="center"/>
            <w:tcMar>
              <w:top w:w="100" w:type="dxa"/>
              <w:start w:w="120" w:type="dxa"/>
              <w:bottom w:w="100" w:type="dxa"/>
              <w:end w:w="120" w:type="dxa"/>
            </w:tcMar>
          </w:tcPr>
          <w:p>
            <w:pPr>
              <w:spacing w:after="0" w:before="0"/>
            </w:pPr>
            <w:r>
              <w:rPr>
                <w:rFonts w:ascii="Aptos" w:hAnsi="Aptos"/>
                <w:sz w:val="18"/>
              </w:rPr>
              <w:t>Run deferred Phase 11.8</w:t>
            </w:r>
          </w:p>
        </w:tc>
        <w:tc>
          <w:tcPr>
            <w:tcW w:type="dxa" w:w="6696"/>
            <w:vAlign w:val="center"/>
            <w:tcMar>
              <w:top w:w="100" w:type="dxa"/>
              <w:start w:w="120" w:type="dxa"/>
              <w:bottom w:w="100" w:type="dxa"/>
              <w:end w:w="120" w:type="dxa"/>
            </w:tcMar>
          </w:tcPr>
          <w:p>
            <w:pPr>
              <w:spacing w:after="0" w:before="0"/>
            </w:pPr>
            <w:r>
              <w:rPr>
                <w:rFonts w:ascii="Aptos" w:hAnsi="Aptos"/>
                <w:sz w:val="18"/>
              </w:rPr>
              <w:t>Execute the exact checksummed V001-V030 pack on clean PostgreSQL and Development Supabase.</w:t>
            </w:r>
          </w:p>
        </w:tc>
      </w:tr>
      <w:tr>
        <w:tc>
          <w:tcPr>
            <w:tcW w:type="dxa" w:w="648"/>
            <w:vAlign w:val="center"/>
            <w:tcMar>
              <w:top w:w="100" w:type="dxa"/>
              <w:start w:w="120" w:type="dxa"/>
              <w:bottom w:w="100" w:type="dxa"/>
              <w:end w:w="120" w:type="dxa"/>
            </w:tcMar>
          </w:tcPr>
          <w:p>
            <w:pPr>
              <w:spacing w:after="0" w:before="0"/>
            </w:pPr>
            <w:r>
              <w:rPr>
                <w:rFonts w:ascii="Aptos" w:hAnsi="Aptos"/>
                <w:b/>
                <w:color w:val="312E81"/>
                <w:sz w:val="18"/>
              </w:rPr>
              <w:t>3</w:t>
            </w:r>
          </w:p>
        </w:tc>
        <w:tc>
          <w:tcPr>
            <w:tcW w:type="dxa" w:w="2736"/>
            <w:vAlign w:val="center"/>
            <w:tcMar>
              <w:top w:w="100" w:type="dxa"/>
              <w:start w:w="120" w:type="dxa"/>
              <w:bottom w:w="100" w:type="dxa"/>
              <w:end w:w="120" w:type="dxa"/>
            </w:tcMar>
          </w:tcPr>
          <w:p>
            <w:pPr>
              <w:spacing w:after="0" w:before="0"/>
            </w:pPr>
            <w:r>
              <w:rPr>
                <w:rFonts w:ascii="Aptos" w:hAnsi="Aptos"/>
                <w:sz w:val="18"/>
              </w:rPr>
              <w:t>Freeze Production RC</w:t>
            </w:r>
          </w:p>
        </w:tc>
        <w:tc>
          <w:tcPr>
            <w:tcW w:type="dxa" w:w="6696"/>
            <w:vAlign w:val="center"/>
            <w:tcMar>
              <w:top w:w="100" w:type="dxa"/>
              <w:start w:w="120" w:type="dxa"/>
              <w:bottom w:w="100" w:type="dxa"/>
              <w:end w:w="120" w:type="dxa"/>
            </w:tcMar>
          </w:tcPr>
          <w:p>
            <w:pPr>
              <w:spacing w:after="0" w:before="0"/>
            </w:pPr>
            <w:r>
              <w:rPr>
                <w:rFonts w:ascii="Aptos" w:hAnsi="Aptos"/>
                <w:sz w:val="18"/>
              </w:rPr>
              <w:t>Checksums, migration order, application build, DB pool and worker configuration.</w:t>
            </w:r>
          </w:p>
        </w:tc>
      </w:tr>
      <w:tr>
        <w:tc>
          <w:tcPr>
            <w:tcW w:type="dxa" w:w="648"/>
            <w:vAlign w:val="center"/>
            <w:tcMar>
              <w:top w:w="100" w:type="dxa"/>
              <w:start w:w="120" w:type="dxa"/>
              <w:bottom w:w="100" w:type="dxa"/>
              <w:end w:w="120" w:type="dxa"/>
            </w:tcMar>
          </w:tcPr>
          <w:p>
            <w:pPr>
              <w:spacing w:after="0" w:before="0"/>
            </w:pPr>
            <w:r>
              <w:rPr>
                <w:rFonts w:ascii="Aptos" w:hAnsi="Aptos"/>
                <w:b/>
                <w:color w:val="312E81"/>
                <w:sz w:val="18"/>
              </w:rPr>
              <w:t>4</w:t>
            </w:r>
          </w:p>
        </w:tc>
        <w:tc>
          <w:tcPr>
            <w:tcW w:type="dxa" w:w="2736"/>
            <w:vAlign w:val="center"/>
            <w:tcMar>
              <w:top w:w="100" w:type="dxa"/>
              <w:start w:w="120" w:type="dxa"/>
              <w:bottom w:w="100" w:type="dxa"/>
              <w:end w:w="120" w:type="dxa"/>
            </w:tcMar>
          </w:tcPr>
          <w:p>
            <w:pPr>
              <w:spacing w:after="0" w:before="0"/>
            </w:pPr>
            <w:r>
              <w:rPr>
                <w:rFonts w:ascii="Aptos" w:hAnsi="Aptos"/>
                <w:sz w:val="18"/>
              </w:rPr>
              <w:t>Provision Dokploy services</w:t>
            </w:r>
          </w:p>
        </w:tc>
        <w:tc>
          <w:tcPr>
            <w:tcW w:type="dxa" w:w="6696"/>
            <w:vAlign w:val="center"/>
            <w:tcMar>
              <w:top w:w="100" w:type="dxa"/>
              <w:start w:w="120" w:type="dxa"/>
              <w:bottom w:w="100" w:type="dxa"/>
              <w:end w:w="120" w:type="dxa"/>
            </w:tcMar>
          </w:tcPr>
          <w:p>
            <w:pPr>
              <w:spacing w:after="0" w:before="0"/>
            </w:pPr>
            <w:r>
              <w:rPr>
                <w:rFonts w:ascii="Aptos" w:hAnsi="Aptos"/>
                <w:sz w:val="18"/>
              </w:rPr>
              <w:t>Deploy Node API, FastAPI services and workers with separate environment variables/credentials.</w:t>
            </w:r>
          </w:p>
        </w:tc>
      </w:tr>
      <w:tr>
        <w:tc>
          <w:tcPr>
            <w:tcW w:type="dxa" w:w="648"/>
            <w:vAlign w:val="center"/>
            <w:tcMar>
              <w:top w:w="100" w:type="dxa"/>
              <w:start w:w="120" w:type="dxa"/>
              <w:bottom w:w="100" w:type="dxa"/>
              <w:end w:w="120" w:type="dxa"/>
            </w:tcMar>
          </w:tcPr>
          <w:p>
            <w:pPr>
              <w:spacing w:after="0" w:before="0"/>
            </w:pPr>
            <w:r>
              <w:rPr>
                <w:rFonts w:ascii="Aptos" w:hAnsi="Aptos"/>
                <w:b/>
                <w:color w:val="312E81"/>
                <w:sz w:val="18"/>
              </w:rPr>
              <w:t>5</w:t>
            </w:r>
          </w:p>
        </w:tc>
        <w:tc>
          <w:tcPr>
            <w:tcW w:type="dxa" w:w="2736"/>
            <w:vAlign w:val="center"/>
            <w:tcMar>
              <w:top w:w="100" w:type="dxa"/>
              <w:start w:w="120" w:type="dxa"/>
              <w:bottom w:w="100" w:type="dxa"/>
              <w:end w:w="120" w:type="dxa"/>
            </w:tcMar>
          </w:tcPr>
          <w:p>
            <w:pPr>
              <w:spacing w:after="0" w:before="0"/>
            </w:pPr>
            <w:r>
              <w:rPr>
                <w:rFonts w:ascii="Aptos" w:hAnsi="Aptos"/>
                <w:sz w:val="18"/>
              </w:rPr>
              <w:t>Apply database migrations</w:t>
            </w:r>
          </w:p>
        </w:tc>
        <w:tc>
          <w:tcPr>
            <w:tcW w:type="dxa" w:w="6696"/>
            <w:vAlign w:val="center"/>
            <w:tcMar>
              <w:top w:w="100" w:type="dxa"/>
              <w:start w:w="120" w:type="dxa"/>
              <w:bottom w:w="100" w:type="dxa"/>
              <w:end w:w="120" w:type="dxa"/>
            </w:tcMar>
          </w:tcPr>
          <w:p>
            <w:pPr>
              <w:spacing w:after="0" w:before="0"/>
            </w:pPr>
            <w:r>
              <w:rPr>
                <w:rFonts w:ascii="Aptos" w:hAnsi="Aptos"/>
                <w:sz w:val="18"/>
              </w:rPr>
              <w:t>Run V001-V030 in order and require V030 P0/P1 release checks to pass.</w:t>
            </w:r>
          </w:p>
        </w:tc>
      </w:tr>
      <w:tr>
        <w:tc>
          <w:tcPr>
            <w:tcW w:type="dxa" w:w="648"/>
            <w:vAlign w:val="center"/>
            <w:tcMar>
              <w:top w:w="100" w:type="dxa"/>
              <w:start w:w="120" w:type="dxa"/>
              <w:bottom w:w="100" w:type="dxa"/>
              <w:end w:w="120" w:type="dxa"/>
            </w:tcMar>
          </w:tcPr>
          <w:p>
            <w:pPr>
              <w:spacing w:after="0" w:before="0"/>
            </w:pPr>
            <w:r>
              <w:rPr>
                <w:rFonts w:ascii="Aptos" w:hAnsi="Aptos"/>
                <w:b/>
                <w:color w:val="312E81"/>
                <w:sz w:val="18"/>
              </w:rPr>
              <w:t>6</w:t>
            </w:r>
          </w:p>
        </w:tc>
        <w:tc>
          <w:tcPr>
            <w:tcW w:type="dxa" w:w="2736"/>
            <w:vAlign w:val="center"/>
            <w:tcMar>
              <w:top w:w="100" w:type="dxa"/>
              <w:start w:w="120" w:type="dxa"/>
              <w:bottom w:w="100" w:type="dxa"/>
              <w:end w:w="120" w:type="dxa"/>
            </w:tcMar>
          </w:tcPr>
          <w:p>
            <w:pPr>
              <w:spacing w:after="0" w:before="0"/>
            </w:pPr>
            <w:r>
              <w:rPr>
                <w:rFonts w:ascii="Aptos" w:hAnsi="Aptos"/>
                <w:sz w:val="18"/>
              </w:rPr>
              <w:t>Deploy backend</w:t>
            </w:r>
          </w:p>
        </w:tc>
        <w:tc>
          <w:tcPr>
            <w:tcW w:type="dxa" w:w="6696"/>
            <w:vAlign w:val="center"/>
            <w:tcMar>
              <w:top w:w="100" w:type="dxa"/>
              <w:start w:w="120" w:type="dxa"/>
              <w:bottom w:w="100" w:type="dxa"/>
              <w:end w:w="120" w:type="dxa"/>
            </w:tcMar>
          </w:tcPr>
          <w:p>
            <w:pPr>
              <w:spacing w:after="0" w:before="0"/>
            </w:pPr>
            <w:r>
              <w:rPr>
                <w:rFonts w:ascii="Aptos" w:hAnsi="Aptos"/>
                <w:sz w:val="18"/>
              </w:rPr>
              <w:t>Start Node API against the validated database.</w:t>
            </w:r>
          </w:p>
        </w:tc>
      </w:tr>
      <w:tr>
        <w:tc>
          <w:tcPr>
            <w:tcW w:type="dxa" w:w="648"/>
            <w:vAlign w:val="center"/>
            <w:tcMar>
              <w:top w:w="100" w:type="dxa"/>
              <w:start w:w="120" w:type="dxa"/>
              <w:bottom w:w="100" w:type="dxa"/>
              <w:end w:w="120" w:type="dxa"/>
            </w:tcMar>
          </w:tcPr>
          <w:p>
            <w:pPr>
              <w:spacing w:after="0" w:before="0"/>
            </w:pPr>
            <w:r>
              <w:rPr>
                <w:rFonts w:ascii="Aptos" w:hAnsi="Aptos"/>
                <w:b/>
                <w:color w:val="312E81"/>
                <w:sz w:val="18"/>
              </w:rPr>
              <w:t>7</w:t>
            </w:r>
          </w:p>
        </w:tc>
        <w:tc>
          <w:tcPr>
            <w:tcW w:type="dxa" w:w="2736"/>
            <w:vAlign w:val="center"/>
            <w:tcMar>
              <w:top w:w="100" w:type="dxa"/>
              <w:start w:w="120" w:type="dxa"/>
              <w:bottom w:w="100" w:type="dxa"/>
              <w:end w:w="120" w:type="dxa"/>
            </w:tcMar>
          </w:tcPr>
          <w:p>
            <w:pPr>
              <w:spacing w:after="0" w:before="0"/>
            </w:pPr>
            <w:r>
              <w:rPr>
                <w:rFonts w:ascii="Aptos" w:hAnsi="Aptos"/>
                <w:sz w:val="18"/>
              </w:rPr>
              <w:t>Start async workers</w:t>
            </w:r>
          </w:p>
        </w:tc>
        <w:tc>
          <w:tcPr>
            <w:tcW w:type="dxa" w:w="6696"/>
            <w:vAlign w:val="center"/>
            <w:tcMar>
              <w:top w:w="100" w:type="dxa"/>
              <w:start w:w="120" w:type="dxa"/>
              <w:bottom w:w="100" w:type="dxa"/>
              <w:end w:w="120" w:type="dxa"/>
            </w:tcMar>
          </w:tcPr>
          <w:p>
            <w:pPr>
              <w:spacing w:after="0" w:before="0"/>
            </w:pPr>
            <w:r>
              <w:rPr>
                <w:rFonts w:ascii="Aptos" w:hAnsi="Aptos"/>
                <w:sz w:val="18"/>
              </w:rPr>
              <w:t>Outbox -&gt; Analytics/Memory/AI -&gt; Projection in controlled order.</w:t>
            </w:r>
          </w:p>
        </w:tc>
      </w:tr>
      <w:tr>
        <w:tc>
          <w:tcPr>
            <w:tcW w:type="dxa" w:w="648"/>
            <w:vAlign w:val="center"/>
            <w:tcMar>
              <w:top w:w="100" w:type="dxa"/>
              <w:start w:w="120" w:type="dxa"/>
              <w:bottom w:w="100" w:type="dxa"/>
              <w:end w:w="120" w:type="dxa"/>
            </w:tcMar>
          </w:tcPr>
          <w:p>
            <w:pPr>
              <w:spacing w:after="0" w:before="0"/>
            </w:pPr>
            <w:r>
              <w:rPr>
                <w:rFonts w:ascii="Aptos" w:hAnsi="Aptos"/>
                <w:b/>
                <w:color w:val="312E81"/>
                <w:sz w:val="18"/>
              </w:rPr>
              <w:t>8</w:t>
            </w:r>
          </w:p>
        </w:tc>
        <w:tc>
          <w:tcPr>
            <w:tcW w:type="dxa" w:w="2736"/>
            <w:vAlign w:val="center"/>
            <w:tcMar>
              <w:top w:w="100" w:type="dxa"/>
              <w:start w:w="120" w:type="dxa"/>
              <w:bottom w:w="100" w:type="dxa"/>
              <w:end w:w="120" w:type="dxa"/>
            </w:tcMar>
          </w:tcPr>
          <w:p>
            <w:pPr>
              <w:spacing w:after="0" w:before="0"/>
            </w:pPr>
            <w:r>
              <w:rPr>
                <w:rFonts w:ascii="Aptos" w:hAnsi="Aptos"/>
                <w:sz w:val="18"/>
              </w:rPr>
              <w:t>Smoke test</w:t>
            </w:r>
          </w:p>
        </w:tc>
        <w:tc>
          <w:tcPr>
            <w:tcW w:type="dxa" w:w="6696"/>
            <w:vAlign w:val="center"/>
            <w:tcMar>
              <w:top w:w="100" w:type="dxa"/>
              <w:start w:w="120" w:type="dxa"/>
              <w:bottom w:w="100" w:type="dxa"/>
              <w:end w:w="120" w:type="dxa"/>
            </w:tcMar>
          </w:tcPr>
          <w:p>
            <w:pPr>
              <w:spacing w:after="0" w:before="0"/>
            </w:pPr>
            <w:r>
              <w:rPr>
                <w:rFonts w:ascii="Aptos" w:hAnsi="Aptos"/>
                <w:sz w:val="18"/>
              </w:rPr>
              <w:t>Personal, Group, Business, Finance, Governance and projection reads.</w:t>
            </w:r>
          </w:p>
        </w:tc>
      </w:tr>
      <w:tr>
        <w:tc>
          <w:tcPr>
            <w:tcW w:type="dxa" w:w="648"/>
            <w:vAlign w:val="center"/>
            <w:tcMar>
              <w:top w:w="100" w:type="dxa"/>
              <w:start w:w="120" w:type="dxa"/>
              <w:bottom w:w="100" w:type="dxa"/>
              <w:end w:w="120" w:type="dxa"/>
            </w:tcMar>
          </w:tcPr>
          <w:p>
            <w:pPr>
              <w:spacing w:after="0" w:before="0"/>
            </w:pPr>
            <w:r>
              <w:rPr>
                <w:rFonts w:ascii="Aptos" w:hAnsi="Aptos"/>
                <w:b/>
                <w:color w:val="312E81"/>
                <w:sz w:val="18"/>
              </w:rPr>
              <w:t>9</w:t>
            </w:r>
          </w:p>
        </w:tc>
        <w:tc>
          <w:tcPr>
            <w:tcW w:type="dxa" w:w="2736"/>
            <w:vAlign w:val="center"/>
            <w:tcMar>
              <w:top w:w="100" w:type="dxa"/>
              <w:start w:w="120" w:type="dxa"/>
              <w:bottom w:w="100" w:type="dxa"/>
              <w:end w:w="120" w:type="dxa"/>
            </w:tcMar>
          </w:tcPr>
          <w:p>
            <w:pPr>
              <w:spacing w:after="0" w:before="0"/>
            </w:pPr>
            <w:r>
              <w:rPr>
                <w:rFonts w:ascii="Aptos" w:hAnsi="Aptos"/>
                <w:sz w:val="18"/>
              </w:rPr>
              <w:t>Enable normal traffic</w:t>
            </w:r>
          </w:p>
        </w:tc>
        <w:tc>
          <w:tcPr>
            <w:tcW w:type="dxa" w:w="6696"/>
            <w:vAlign w:val="center"/>
            <w:tcMar>
              <w:top w:w="100" w:type="dxa"/>
              <w:start w:w="120" w:type="dxa"/>
              <w:bottom w:w="100" w:type="dxa"/>
              <w:end w:w="120" w:type="dxa"/>
            </w:tcMar>
          </w:tcPr>
          <w:p>
            <w:pPr>
              <w:spacing w:after="0" w:before="0"/>
            </w:pPr>
            <w:r>
              <w:rPr>
                <w:rFonts w:ascii="Aptos" w:hAnsi="Aptos"/>
                <w:sz w:val="18"/>
              </w:rPr>
              <w:t>Only after database, API and workers are healthy.</w:t>
            </w:r>
          </w:p>
        </w:tc>
      </w:tr>
    </w:tbl>
    <w:p>
      <w:pPr>
        <w:pStyle w:val="Heading1"/>
        <w:keepNext/>
      </w:pPr>
      <w:r>
        <w:t>14. Architecture Rules to Freeze for Deployment</w:t>
      </w:r>
    </w:p>
    <w:tbl>
      <w:tblPr>
        <w:tblW w:type="auto" w:w="0"/>
        <w:jc w:val="center"/>
        <w:tblLayout w:type="fixed"/>
        <w:tblLook w:firstColumn="1" w:firstRow="1" w:lastColumn="0" w:lastRow="0" w:noHBand="0" w:noVBand="1" w:val="04A0"/>
      </w:tblPr>
      <w:tblGrid>
        <w:gridCol w:w="5040"/>
        <w:gridCol w:w="5040"/>
      </w:tblGrid>
      <w:tr>
        <w:tc>
          <w:tcPr>
            <w:tcW w:type="dxa" w:w="1440"/>
            <w:vAlign w:val="center"/>
            <w:tcMar>
              <w:top w:w="100" w:type="dxa"/>
              <w:start w:w="120" w:type="dxa"/>
              <w:bottom w:w="100" w:type="dxa"/>
              <w:end w:w="120" w:type="dxa"/>
            </w:tcMar>
            <w:shd w:fill="312E81"/>
          </w:tcPr>
          <w:p>
            <w:pPr>
              <w:spacing w:after="0" w:before="0"/>
            </w:pPr>
            <w:r>
              <w:rPr>
                <w:rFonts w:ascii="Aptos" w:hAnsi="Aptos"/>
                <w:b/>
                <w:color w:val="FFFFFF"/>
                <w:sz w:val="18"/>
              </w:rPr>
              <w:t>Decision</w:t>
            </w:r>
          </w:p>
        </w:tc>
        <w:tc>
          <w:tcPr>
            <w:tcW w:type="dxa" w:w="8640"/>
            <w:vAlign w:val="center"/>
            <w:tcMar>
              <w:top w:w="100" w:type="dxa"/>
              <w:start w:w="120" w:type="dxa"/>
              <w:bottom w:w="100" w:type="dxa"/>
              <w:end w:w="120" w:type="dxa"/>
            </w:tcMar>
            <w:shd w:fill="312E81"/>
          </w:tcPr>
          <w:p>
            <w:pPr>
              <w:spacing w:after="0" w:before="0"/>
            </w:pPr>
            <w:r>
              <w:rPr>
                <w:rFonts w:ascii="Aptos" w:hAnsi="Aptos"/>
                <w:b/>
                <w:color w:val="FFFFFF"/>
                <w:sz w:val="18"/>
              </w:rPr>
              <w:t>Rule</w:t>
            </w:r>
          </w:p>
        </w:tc>
      </w:tr>
      <w:tr>
        <w:tc>
          <w:tcPr>
            <w:tcW w:type="dxa" w:w="1440"/>
            <w:vAlign w:val="center"/>
            <w:tcMar>
              <w:top w:w="100" w:type="dxa"/>
              <w:start w:w="120" w:type="dxa"/>
              <w:bottom w:w="100" w:type="dxa"/>
              <w:end w:w="120" w:type="dxa"/>
            </w:tcMar>
            <w:shd w:fill="DCFCE7"/>
          </w:tcPr>
          <w:p>
            <w:pPr>
              <w:spacing w:after="0" w:before="0"/>
            </w:pPr>
            <w:r>
              <w:rPr>
                <w:rFonts w:ascii="Aptos" w:hAnsi="Aptos"/>
                <w:b/>
                <w:color w:val="312E81"/>
                <w:sz w:val="18"/>
              </w:rPr>
              <w:t>DO</w:t>
            </w:r>
          </w:p>
        </w:tc>
        <w:tc>
          <w:tcPr>
            <w:tcW w:type="dxa" w:w="8640"/>
            <w:vAlign w:val="center"/>
            <w:tcMar>
              <w:top w:w="100" w:type="dxa"/>
              <w:start w:w="120" w:type="dxa"/>
              <w:bottom w:w="100" w:type="dxa"/>
              <w:end w:w="120" w:type="dxa"/>
            </w:tcMar>
          </w:tcPr>
          <w:p>
            <w:pPr>
              <w:spacing w:after="0" w:before="0"/>
            </w:pPr>
            <w:r>
              <w:rPr>
                <w:rFonts w:ascii="Aptos" w:hAnsi="Aptos"/>
                <w:sz w:val="18"/>
              </w:rPr>
              <w:t>Use Node.js as the main synchronous application/BFF layer.</w:t>
            </w:r>
          </w:p>
        </w:tc>
      </w:tr>
      <w:tr>
        <w:tc>
          <w:tcPr>
            <w:tcW w:type="dxa" w:w="1440"/>
            <w:vAlign w:val="center"/>
            <w:tcMar>
              <w:top w:w="100" w:type="dxa"/>
              <w:start w:w="120" w:type="dxa"/>
              <w:bottom w:w="100" w:type="dxa"/>
              <w:end w:w="120" w:type="dxa"/>
            </w:tcMar>
            <w:shd w:fill="DCFCE7"/>
          </w:tcPr>
          <w:p>
            <w:pPr>
              <w:spacing w:after="0" w:before="0"/>
            </w:pPr>
            <w:r>
              <w:rPr>
                <w:rFonts w:ascii="Aptos" w:hAnsi="Aptos"/>
                <w:b/>
                <w:color w:val="312E81"/>
                <w:sz w:val="18"/>
              </w:rPr>
              <w:t>DO</w:t>
            </w:r>
          </w:p>
        </w:tc>
        <w:tc>
          <w:tcPr>
            <w:tcW w:type="dxa" w:w="8640"/>
            <w:vAlign w:val="center"/>
            <w:tcMar>
              <w:top w:w="100" w:type="dxa"/>
              <w:start w:w="120" w:type="dxa"/>
              <w:bottom w:w="100" w:type="dxa"/>
              <w:end w:w="120" w:type="dxa"/>
            </w:tcMar>
          </w:tcPr>
          <w:p>
            <w:pPr>
              <w:spacing w:after="0" w:before="0"/>
            </w:pPr>
            <w:r>
              <w:rPr>
                <w:rFonts w:ascii="Aptos" w:hAnsi="Aptos"/>
                <w:sz w:val="18"/>
              </w:rPr>
              <w:t>Use FastAPI/Python for AI, advanced analytics and Python-heavy workers.</w:t>
            </w:r>
          </w:p>
        </w:tc>
      </w:tr>
      <w:tr>
        <w:tc>
          <w:tcPr>
            <w:tcW w:type="dxa" w:w="1440"/>
            <w:vAlign w:val="center"/>
            <w:tcMar>
              <w:top w:w="100" w:type="dxa"/>
              <w:start w:w="120" w:type="dxa"/>
              <w:bottom w:w="100" w:type="dxa"/>
              <w:end w:w="120" w:type="dxa"/>
            </w:tcMar>
            <w:shd w:fill="DCFCE7"/>
          </w:tcPr>
          <w:p>
            <w:pPr>
              <w:spacing w:after="0" w:before="0"/>
            </w:pPr>
            <w:r>
              <w:rPr>
                <w:rFonts w:ascii="Aptos" w:hAnsi="Aptos"/>
                <w:b/>
                <w:color w:val="312E81"/>
                <w:sz w:val="18"/>
              </w:rPr>
              <w:t>DO</w:t>
            </w:r>
          </w:p>
        </w:tc>
        <w:tc>
          <w:tcPr>
            <w:tcW w:type="dxa" w:w="8640"/>
            <w:vAlign w:val="center"/>
            <w:tcMar>
              <w:top w:w="100" w:type="dxa"/>
              <w:start w:w="120" w:type="dxa"/>
              <w:bottom w:w="100" w:type="dxa"/>
              <w:end w:w="120" w:type="dxa"/>
            </w:tcMar>
          </w:tcPr>
          <w:p>
            <w:pPr>
              <w:spacing w:after="0" w:before="0"/>
            </w:pPr>
            <w:r>
              <w:rPr>
                <w:rFonts w:ascii="Aptos" w:hAnsi="Aptos"/>
                <w:sz w:val="18"/>
              </w:rPr>
              <w:t>Keep Supabase PostgreSQL as the single canonical source of truth.</w:t>
            </w:r>
          </w:p>
        </w:tc>
      </w:tr>
      <w:tr>
        <w:tc>
          <w:tcPr>
            <w:tcW w:type="dxa" w:w="1440"/>
            <w:vAlign w:val="center"/>
            <w:tcMar>
              <w:top w:w="100" w:type="dxa"/>
              <w:start w:w="120" w:type="dxa"/>
              <w:bottom w:w="100" w:type="dxa"/>
              <w:end w:w="120" w:type="dxa"/>
            </w:tcMar>
            <w:shd w:fill="DCFCE7"/>
          </w:tcPr>
          <w:p>
            <w:pPr>
              <w:spacing w:after="0" w:before="0"/>
            </w:pPr>
            <w:r>
              <w:rPr>
                <w:rFonts w:ascii="Aptos" w:hAnsi="Aptos"/>
                <w:b/>
                <w:color w:val="312E81"/>
                <w:sz w:val="18"/>
              </w:rPr>
              <w:t>DO</w:t>
            </w:r>
          </w:p>
        </w:tc>
        <w:tc>
          <w:tcPr>
            <w:tcW w:type="dxa" w:w="8640"/>
            <w:vAlign w:val="center"/>
            <w:tcMar>
              <w:top w:w="100" w:type="dxa"/>
              <w:start w:w="120" w:type="dxa"/>
              <w:bottom w:w="100" w:type="dxa"/>
              <w:end w:w="120" w:type="dxa"/>
            </w:tcMar>
          </w:tcPr>
          <w:p>
            <w:pPr>
              <w:spacing w:after="0" w:before="0"/>
            </w:pPr>
            <w:r>
              <w:rPr>
                <w:rFonts w:ascii="Aptos" w:hAnsi="Aptos"/>
                <w:sz w:val="18"/>
              </w:rPr>
              <w:t>Use transactional Outbox for asynchronous downstream work.</w:t>
            </w:r>
          </w:p>
        </w:tc>
      </w:tr>
      <w:tr>
        <w:tc>
          <w:tcPr>
            <w:tcW w:type="dxa" w:w="1440"/>
            <w:vAlign w:val="center"/>
            <w:tcMar>
              <w:top w:w="100" w:type="dxa"/>
              <w:start w:w="120" w:type="dxa"/>
              <w:bottom w:w="100" w:type="dxa"/>
              <w:end w:w="120" w:type="dxa"/>
            </w:tcMar>
            <w:shd w:fill="DCFCE7"/>
          </w:tcPr>
          <w:p>
            <w:pPr>
              <w:spacing w:after="0" w:before="0"/>
            </w:pPr>
            <w:r>
              <w:rPr>
                <w:rFonts w:ascii="Aptos" w:hAnsi="Aptos"/>
                <w:b/>
                <w:color w:val="312E81"/>
                <w:sz w:val="18"/>
              </w:rPr>
              <w:t>DO</w:t>
            </w:r>
          </w:p>
        </w:tc>
        <w:tc>
          <w:tcPr>
            <w:tcW w:type="dxa" w:w="8640"/>
            <w:vAlign w:val="center"/>
            <w:tcMar>
              <w:top w:w="100" w:type="dxa"/>
              <w:start w:w="120" w:type="dxa"/>
              <w:bottom w:w="100" w:type="dxa"/>
              <w:end w:w="120" w:type="dxa"/>
            </w:tcMar>
          </w:tcPr>
          <w:p>
            <w:pPr>
              <w:spacing w:after="0" w:before="0"/>
            </w:pPr>
            <w:r>
              <w:rPr>
                <w:rFonts w:ascii="Aptos" w:hAnsi="Aptos"/>
                <w:sz w:val="18"/>
              </w:rPr>
              <w:t>Serve primary UI screens from projection tables.</w:t>
            </w:r>
          </w:p>
        </w:tc>
      </w:tr>
      <w:tr>
        <w:tc>
          <w:tcPr>
            <w:tcW w:type="dxa" w:w="1440"/>
            <w:vAlign w:val="center"/>
            <w:tcMar>
              <w:top w:w="100" w:type="dxa"/>
              <w:start w:w="120" w:type="dxa"/>
              <w:bottom w:w="100" w:type="dxa"/>
              <w:end w:w="120" w:type="dxa"/>
            </w:tcMar>
            <w:shd w:fill="DCFCE7"/>
          </w:tcPr>
          <w:p>
            <w:pPr>
              <w:spacing w:after="0" w:before="0"/>
            </w:pPr>
            <w:r>
              <w:rPr>
                <w:rFonts w:ascii="Aptos" w:hAnsi="Aptos"/>
                <w:b/>
                <w:color w:val="312E81"/>
                <w:sz w:val="18"/>
              </w:rPr>
              <w:t>DO</w:t>
            </w:r>
          </w:p>
        </w:tc>
        <w:tc>
          <w:tcPr>
            <w:tcW w:type="dxa" w:w="8640"/>
            <w:vAlign w:val="center"/>
            <w:tcMar>
              <w:top w:w="100" w:type="dxa"/>
              <w:start w:w="120" w:type="dxa"/>
              <w:bottom w:w="100" w:type="dxa"/>
              <w:end w:w="120" w:type="dxa"/>
            </w:tcMar>
          </w:tcPr>
          <w:p>
            <w:pPr>
              <w:spacing w:after="0" w:before="0"/>
            </w:pPr>
            <w:r>
              <w:rPr>
                <w:rFonts w:ascii="Aptos" w:hAnsi="Aptos"/>
                <w:sz w:val="18"/>
              </w:rPr>
              <w:t>Use pooled persistent database connections.</w:t>
            </w:r>
          </w:p>
        </w:tc>
      </w:tr>
      <w:tr>
        <w:tc>
          <w:tcPr>
            <w:tcW w:type="dxa" w:w="1440"/>
            <w:vAlign w:val="center"/>
            <w:tcMar>
              <w:top w:w="100" w:type="dxa"/>
              <w:start w:w="120" w:type="dxa"/>
              <w:bottom w:w="100" w:type="dxa"/>
              <w:end w:w="120" w:type="dxa"/>
            </w:tcMar>
            <w:shd w:fill="DCFCE7"/>
          </w:tcPr>
          <w:p>
            <w:pPr>
              <w:spacing w:after="0" w:before="0"/>
            </w:pPr>
            <w:r>
              <w:rPr>
                <w:rFonts w:ascii="Aptos" w:hAnsi="Aptos"/>
                <w:b/>
                <w:color w:val="312E81"/>
                <w:sz w:val="18"/>
              </w:rPr>
              <w:t>DO</w:t>
            </w:r>
          </w:p>
        </w:tc>
        <w:tc>
          <w:tcPr>
            <w:tcW w:type="dxa" w:w="8640"/>
            <w:vAlign w:val="center"/>
            <w:tcMar>
              <w:top w:w="100" w:type="dxa"/>
              <w:start w:w="120" w:type="dxa"/>
              <w:bottom w:w="100" w:type="dxa"/>
              <w:end w:w="120" w:type="dxa"/>
            </w:tcMar>
          </w:tcPr>
          <w:p>
            <w:pPr>
              <w:spacing w:after="0" w:before="0"/>
            </w:pPr>
            <w:r>
              <w:rPr>
                <w:rFonts w:ascii="Aptos" w:hAnsi="Aptos"/>
                <w:sz w:val="18"/>
              </w:rPr>
              <w:t>Reauthorize all sensitive commands at execution time.</w:t>
            </w:r>
          </w:p>
        </w:tc>
      </w:tr>
      <w:tr>
        <w:tc>
          <w:tcPr>
            <w:tcW w:type="dxa" w:w="1440"/>
            <w:vAlign w:val="center"/>
            <w:tcMar>
              <w:top w:w="100" w:type="dxa"/>
              <w:start w:w="120" w:type="dxa"/>
              <w:bottom w:w="100" w:type="dxa"/>
              <w:end w:w="120" w:type="dxa"/>
            </w:tcMar>
            <w:shd w:fill="FEE2E2"/>
          </w:tcPr>
          <w:p>
            <w:pPr>
              <w:spacing w:after="0" w:before="0"/>
            </w:pPr>
            <w:r>
              <w:rPr>
                <w:rFonts w:ascii="Aptos" w:hAnsi="Aptos"/>
                <w:b/>
                <w:color w:val="312E81"/>
                <w:sz w:val="18"/>
              </w:rPr>
              <w:t>DO NOT</w:t>
            </w:r>
          </w:p>
        </w:tc>
        <w:tc>
          <w:tcPr>
            <w:tcW w:type="dxa" w:w="8640"/>
            <w:vAlign w:val="center"/>
            <w:tcMar>
              <w:top w:w="100" w:type="dxa"/>
              <w:start w:w="120" w:type="dxa"/>
              <w:bottom w:w="100" w:type="dxa"/>
              <w:end w:w="120" w:type="dxa"/>
            </w:tcMar>
          </w:tcPr>
          <w:p>
            <w:pPr>
              <w:spacing w:after="0" w:before="0"/>
            </w:pPr>
            <w:r>
              <w:rPr>
                <w:rFonts w:ascii="Aptos" w:hAnsi="Aptos"/>
                <w:sz w:val="18"/>
              </w:rPr>
              <w:t>Add MongoDB as a second canonical Momentra database in Phase 1.</w:t>
            </w:r>
          </w:p>
        </w:tc>
      </w:tr>
      <w:tr>
        <w:tc>
          <w:tcPr>
            <w:tcW w:type="dxa" w:w="1440"/>
            <w:vAlign w:val="center"/>
            <w:tcMar>
              <w:top w:w="100" w:type="dxa"/>
              <w:start w:w="120" w:type="dxa"/>
              <w:bottom w:w="100" w:type="dxa"/>
              <w:end w:w="120" w:type="dxa"/>
            </w:tcMar>
            <w:shd w:fill="FEE2E2"/>
          </w:tcPr>
          <w:p>
            <w:pPr>
              <w:spacing w:after="0" w:before="0"/>
            </w:pPr>
            <w:r>
              <w:rPr>
                <w:rFonts w:ascii="Aptos" w:hAnsi="Aptos"/>
                <w:b/>
                <w:color w:val="312E81"/>
                <w:sz w:val="18"/>
              </w:rPr>
              <w:t>DO NOT</w:t>
            </w:r>
          </w:p>
        </w:tc>
        <w:tc>
          <w:tcPr>
            <w:tcW w:type="dxa" w:w="8640"/>
            <w:vAlign w:val="center"/>
            <w:tcMar>
              <w:top w:w="100" w:type="dxa"/>
              <w:start w:w="120" w:type="dxa"/>
              <w:bottom w:w="100" w:type="dxa"/>
              <w:end w:w="120" w:type="dxa"/>
            </w:tcMar>
          </w:tcPr>
          <w:p>
            <w:pPr>
              <w:spacing w:after="0" w:before="0"/>
            </w:pPr>
            <w:r>
              <w:rPr>
                <w:rFonts w:ascii="Aptos" w:hAnsi="Aptos"/>
                <w:sz w:val="18"/>
              </w:rPr>
              <w:t>Put AI or Analytics in the synchronous critical path of normal Finance/Work/Moment commands.</w:t>
            </w:r>
          </w:p>
        </w:tc>
      </w:tr>
      <w:tr>
        <w:tc>
          <w:tcPr>
            <w:tcW w:type="dxa" w:w="1440"/>
            <w:vAlign w:val="center"/>
            <w:tcMar>
              <w:top w:w="100" w:type="dxa"/>
              <w:start w:w="120" w:type="dxa"/>
              <w:bottom w:w="100" w:type="dxa"/>
              <w:end w:w="120" w:type="dxa"/>
            </w:tcMar>
            <w:shd w:fill="FEE2E2"/>
          </w:tcPr>
          <w:p>
            <w:pPr>
              <w:spacing w:after="0" w:before="0"/>
            </w:pPr>
            <w:r>
              <w:rPr>
                <w:rFonts w:ascii="Aptos" w:hAnsi="Aptos"/>
                <w:b/>
                <w:color w:val="312E81"/>
                <w:sz w:val="18"/>
              </w:rPr>
              <w:t>DO NOT</w:t>
            </w:r>
          </w:p>
        </w:tc>
        <w:tc>
          <w:tcPr>
            <w:tcW w:type="dxa" w:w="8640"/>
            <w:vAlign w:val="center"/>
            <w:tcMar>
              <w:top w:w="100" w:type="dxa"/>
              <w:start w:w="120" w:type="dxa"/>
              <w:bottom w:w="100" w:type="dxa"/>
              <w:end w:w="120" w:type="dxa"/>
            </w:tcMar>
          </w:tcPr>
          <w:p>
            <w:pPr>
              <w:spacing w:after="0" w:before="0"/>
            </w:pPr>
            <w:r>
              <w:rPr>
                <w:rFonts w:ascii="Aptos" w:hAnsi="Aptos"/>
                <w:sz w:val="18"/>
              </w:rPr>
              <w:t>Let AI workers directly update canonical Finance, Work, Personal or Business state.</w:t>
            </w:r>
          </w:p>
        </w:tc>
      </w:tr>
      <w:tr>
        <w:tc>
          <w:tcPr>
            <w:tcW w:type="dxa" w:w="1440"/>
            <w:vAlign w:val="center"/>
            <w:tcMar>
              <w:top w:w="100" w:type="dxa"/>
              <w:start w:w="120" w:type="dxa"/>
              <w:bottom w:w="100" w:type="dxa"/>
              <w:end w:w="120" w:type="dxa"/>
            </w:tcMar>
            <w:shd w:fill="FEE2E2"/>
          </w:tcPr>
          <w:p>
            <w:pPr>
              <w:spacing w:after="0" w:before="0"/>
            </w:pPr>
            <w:r>
              <w:rPr>
                <w:rFonts w:ascii="Aptos" w:hAnsi="Aptos"/>
                <w:b/>
                <w:color w:val="312E81"/>
                <w:sz w:val="18"/>
              </w:rPr>
              <w:t>DO NOT</w:t>
            </w:r>
          </w:p>
        </w:tc>
        <w:tc>
          <w:tcPr>
            <w:tcW w:type="dxa" w:w="8640"/>
            <w:vAlign w:val="center"/>
            <w:tcMar>
              <w:top w:w="100" w:type="dxa"/>
              <w:start w:w="120" w:type="dxa"/>
              <w:bottom w:w="100" w:type="dxa"/>
              <w:end w:w="120" w:type="dxa"/>
            </w:tcMar>
          </w:tcPr>
          <w:p>
            <w:pPr>
              <w:spacing w:after="0" w:before="0"/>
            </w:pPr>
            <w:r>
              <w:rPr>
                <w:rFonts w:ascii="Aptos" w:hAnsi="Aptos"/>
                <w:sz w:val="18"/>
              </w:rPr>
              <w:t>Make projections a source of truth.</w:t>
            </w:r>
          </w:p>
        </w:tc>
      </w:tr>
      <w:tr>
        <w:tc>
          <w:tcPr>
            <w:tcW w:type="dxa" w:w="1440"/>
            <w:vAlign w:val="center"/>
            <w:tcMar>
              <w:top w:w="100" w:type="dxa"/>
              <w:start w:w="120" w:type="dxa"/>
              <w:bottom w:w="100" w:type="dxa"/>
              <w:end w:w="120" w:type="dxa"/>
            </w:tcMar>
            <w:shd w:fill="FEE2E2"/>
          </w:tcPr>
          <w:p>
            <w:pPr>
              <w:spacing w:after="0" w:before="0"/>
            </w:pPr>
            <w:r>
              <w:rPr>
                <w:rFonts w:ascii="Aptos" w:hAnsi="Aptos"/>
                <w:b/>
                <w:color w:val="312E81"/>
                <w:sz w:val="18"/>
              </w:rPr>
              <w:t>DO NOT</w:t>
            </w:r>
          </w:p>
        </w:tc>
        <w:tc>
          <w:tcPr>
            <w:tcW w:type="dxa" w:w="8640"/>
            <w:vAlign w:val="center"/>
            <w:tcMar>
              <w:top w:w="100" w:type="dxa"/>
              <w:start w:w="120" w:type="dxa"/>
              <w:bottom w:w="100" w:type="dxa"/>
              <w:end w:w="120" w:type="dxa"/>
            </w:tcMar>
          </w:tcPr>
          <w:p>
            <w:pPr>
              <w:spacing w:after="0" w:before="0"/>
            </w:pPr>
            <w:r>
              <w:rPr>
                <w:rFonts w:ascii="Aptos" w:hAnsi="Aptos"/>
                <w:sz w:val="18"/>
              </w:rPr>
              <w:t>Use frontend visibility or Available Actions as the final authorization check.</w:t>
            </w:r>
          </w:p>
        </w:tc>
      </w:tr>
      <w:tr>
        <w:tc>
          <w:tcPr>
            <w:tcW w:type="dxa" w:w="1440"/>
            <w:vAlign w:val="center"/>
            <w:tcMar>
              <w:top w:w="100" w:type="dxa"/>
              <w:start w:w="120" w:type="dxa"/>
              <w:bottom w:w="100" w:type="dxa"/>
              <w:end w:w="120" w:type="dxa"/>
            </w:tcMar>
            <w:shd w:fill="FEE2E2"/>
          </w:tcPr>
          <w:p>
            <w:pPr>
              <w:spacing w:after="0" w:before="0"/>
            </w:pPr>
            <w:r>
              <w:rPr>
                <w:rFonts w:ascii="Aptos" w:hAnsi="Aptos"/>
                <w:b/>
                <w:color w:val="312E81"/>
                <w:sz w:val="18"/>
              </w:rPr>
              <w:t>DO NOT</w:t>
            </w:r>
          </w:p>
        </w:tc>
        <w:tc>
          <w:tcPr>
            <w:tcW w:type="dxa" w:w="8640"/>
            <w:vAlign w:val="center"/>
            <w:tcMar>
              <w:top w:w="100" w:type="dxa"/>
              <w:start w:w="120" w:type="dxa"/>
              <w:bottom w:w="100" w:type="dxa"/>
              <w:end w:w="120" w:type="dxa"/>
            </w:tcMar>
          </w:tcPr>
          <w:p>
            <w:pPr>
              <w:spacing w:after="0" w:before="0"/>
            </w:pPr>
            <w:r>
              <w:rPr>
                <w:rFonts w:ascii="Aptos" w:hAnsi="Aptos"/>
                <w:sz w:val="18"/>
              </w:rPr>
              <w:t>Add Redis/Kafka/read replicas/sharding until a measured bottleneck justifies them.</w:t>
            </w:r>
          </w:p>
        </w:tc>
      </w:tr>
    </w:tbl>
    <w:p>
      <w:pPr>
        <w:pStyle w:val="Heading1"/>
        <w:keepNext/>
      </w:pPr>
      <w:r>
        <w:t>15. Current Deployment Readiness</w:t>
      </w:r>
    </w:p>
    <w:p>
      <w:r>
        <w:t>The architecture and V001-V030 SQL handoff are substantially complete, but deployment must respect the current database release status.</w:t>
      </w:r>
    </w:p>
    <w:tbl>
      <w:tblPr>
        <w:tblW w:type="auto" w:w="0"/>
        <w:jc w:val="center"/>
        <w:tblLayout w:type="fixed"/>
        <w:tblLook w:firstColumn="1" w:firstRow="1" w:lastColumn="0" w:lastRow="0" w:noHBand="0" w:noVBand="1" w:val="04A0"/>
      </w:tblPr>
      <w:tblGrid>
        <w:gridCol w:w="3360"/>
        <w:gridCol w:w="3360"/>
        <w:gridCol w:w="3360"/>
      </w:tblGrid>
      <w:tr>
        <w:tc>
          <w:tcPr>
            <w:tcW w:type="dxa" w:w="2880"/>
            <w:vAlign w:val="center"/>
            <w:tcMar>
              <w:top w:w="100" w:type="dxa"/>
              <w:start w:w="120" w:type="dxa"/>
              <w:bottom w:w="100" w:type="dxa"/>
              <w:end w:w="120" w:type="dxa"/>
            </w:tcMar>
            <w:shd w:fill="312E81"/>
          </w:tcPr>
          <w:p>
            <w:pPr>
              <w:spacing w:after="0" w:before="0"/>
            </w:pPr>
            <w:r>
              <w:rPr>
                <w:rFonts w:ascii="Aptos" w:hAnsi="Aptos"/>
                <w:b/>
                <w:color w:val="FFFFFF"/>
                <w:sz w:val="18"/>
              </w:rPr>
              <w:t>Area</w:t>
            </w:r>
          </w:p>
        </w:tc>
        <w:tc>
          <w:tcPr>
            <w:tcW w:type="dxa" w:w="2016"/>
            <w:vAlign w:val="center"/>
            <w:tcMar>
              <w:top w:w="100" w:type="dxa"/>
              <w:start w:w="120" w:type="dxa"/>
              <w:bottom w:w="100" w:type="dxa"/>
              <w:end w:w="120" w:type="dxa"/>
            </w:tcMar>
            <w:shd w:fill="312E81"/>
          </w:tcPr>
          <w:p>
            <w:pPr>
              <w:spacing w:after="0" w:before="0"/>
            </w:pPr>
            <w:r>
              <w:rPr>
                <w:rFonts w:ascii="Aptos" w:hAnsi="Aptos"/>
                <w:b/>
                <w:color w:val="FFFFFF"/>
                <w:sz w:val="18"/>
              </w:rPr>
              <w:t>Status</w:t>
            </w:r>
          </w:p>
        </w:tc>
        <w:tc>
          <w:tcPr>
            <w:tcW w:type="dxa" w:w="5184"/>
            <w:vAlign w:val="center"/>
            <w:tcMar>
              <w:top w:w="100" w:type="dxa"/>
              <w:start w:w="120" w:type="dxa"/>
              <w:bottom w:w="100" w:type="dxa"/>
              <w:end w:w="120" w:type="dxa"/>
            </w:tcMar>
            <w:shd w:fill="312E81"/>
          </w:tcPr>
          <w:p>
            <w:pPr>
              <w:spacing w:after="0" w:before="0"/>
            </w:pPr>
            <w:r>
              <w:rPr>
                <w:rFonts w:ascii="Aptos" w:hAnsi="Aptos"/>
                <w:b/>
                <w:color w:val="FFFFFF"/>
                <w:sz w:val="18"/>
              </w:rPr>
              <w:t>Deployment implication</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Backend architecture</w:t>
            </w:r>
          </w:p>
        </w:tc>
        <w:tc>
          <w:tcPr>
            <w:tcW w:type="dxa" w:w="2016"/>
            <w:vAlign w:val="center"/>
            <w:tcMar>
              <w:top w:w="100" w:type="dxa"/>
              <w:start w:w="120" w:type="dxa"/>
              <w:bottom w:w="100" w:type="dxa"/>
              <w:end w:w="120" w:type="dxa"/>
            </w:tcMar>
          </w:tcPr>
          <w:p>
            <w:pPr>
              <w:spacing w:after="0" w:before="0"/>
            </w:pPr>
            <w:r>
              <w:rPr>
                <w:rFonts w:ascii="Aptos" w:hAnsi="Aptos"/>
                <w:sz w:val="18"/>
              </w:rPr>
              <w:t>READY FOR IMPLEMENTATION</w:t>
            </w:r>
          </w:p>
        </w:tc>
        <w:tc>
          <w:tcPr>
            <w:tcW w:type="dxa" w:w="5184"/>
            <w:vAlign w:val="center"/>
            <w:tcMar>
              <w:top w:w="100" w:type="dxa"/>
              <w:start w:w="120" w:type="dxa"/>
              <w:bottom w:w="100" w:type="dxa"/>
              <w:end w:w="120" w:type="dxa"/>
            </w:tcMar>
          </w:tcPr>
          <w:p>
            <w:pPr>
              <w:spacing w:after="0" w:before="0"/>
            </w:pPr>
            <w:r>
              <w:rPr>
                <w:rFonts w:ascii="Aptos" w:hAnsi="Aptos"/>
                <w:sz w:val="18"/>
              </w:rPr>
              <w:t>TypeScript/Node + FastAPI split can be adopted now.</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V001-V030 SQL generation</w:t>
            </w:r>
          </w:p>
        </w:tc>
        <w:tc>
          <w:tcPr>
            <w:tcW w:type="dxa" w:w="2016"/>
            <w:vAlign w:val="center"/>
            <w:tcMar>
              <w:top w:w="100" w:type="dxa"/>
              <w:start w:w="120" w:type="dxa"/>
              <w:bottom w:w="100" w:type="dxa"/>
              <w:end w:w="120" w:type="dxa"/>
            </w:tcMar>
          </w:tcPr>
          <w:p>
            <w:pPr>
              <w:spacing w:after="0" w:before="0"/>
            </w:pPr>
            <w:r>
              <w:rPr>
                <w:rFonts w:ascii="Aptos" w:hAnsi="Aptos"/>
                <w:sz w:val="18"/>
              </w:rPr>
              <w:t>COMPLETE</w:t>
            </w:r>
          </w:p>
        </w:tc>
        <w:tc>
          <w:tcPr>
            <w:tcW w:type="dxa" w:w="5184"/>
            <w:vAlign w:val="center"/>
            <w:tcMar>
              <w:top w:w="100" w:type="dxa"/>
              <w:start w:w="120" w:type="dxa"/>
              <w:bottom w:w="100" w:type="dxa"/>
              <w:end w:w="120" w:type="dxa"/>
            </w:tcMar>
          </w:tcPr>
          <w:p>
            <w:pPr>
              <w:spacing w:after="0" w:before="0"/>
            </w:pPr>
            <w:r>
              <w:rPr>
                <w:rFonts w:ascii="Aptos" w:hAnsi="Aptos"/>
                <w:sz w:val="18"/>
              </w:rPr>
              <w:t>Final Phase 11.9 PRE-RC handoff package exists.</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Clean PostgreSQL / Supabase dry run</w:t>
            </w:r>
          </w:p>
        </w:tc>
        <w:tc>
          <w:tcPr>
            <w:tcW w:type="dxa" w:w="2016"/>
            <w:vAlign w:val="center"/>
            <w:tcMar>
              <w:top w:w="100" w:type="dxa"/>
              <w:start w:w="120" w:type="dxa"/>
              <w:bottom w:w="100" w:type="dxa"/>
              <w:end w:w="120" w:type="dxa"/>
            </w:tcMar>
          </w:tcPr>
          <w:p>
            <w:pPr>
              <w:spacing w:after="0" w:before="0"/>
            </w:pPr>
            <w:r>
              <w:rPr>
                <w:rFonts w:ascii="Aptos" w:hAnsi="Aptos"/>
                <w:sz w:val="18"/>
              </w:rPr>
              <w:t>DEFERRED</w:t>
            </w:r>
          </w:p>
        </w:tc>
        <w:tc>
          <w:tcPr>
            <w:tcW w:type="dxa" w:w="5184"/>
            <w:vAlign w:val="center"/>
            <w:tcMar>
              <w:top w:w="100" w:type="dxa"/>
              <w:start w:w="120" w:type="dxa"/>
              <w:bottom w:w="100" w:type="dxa"/>
              <w:end w:w="120" w:type="dxa"/>
            </w:tcMar>
          </w:tcPr>
          <w:p>
            <w:pPr>
              <w:spacing w:after="0" w:before="0"/>
            </w:pPr>
            <w:r>
              <w:rPr>
                <w:rFonts w:ascii="Aptos" w:hAnsi="Aptos"/>
                <w:sz w:val="18"/>
              </w:rPr>
              <w:t>Phase 11.8 must still be executed before Production RC.</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Analytics formula/threshold semantics</w:t>
            </w:r>
          </w:p>
        </w:tc>
        <w:tc>
          <w:tcPr>
            <w:tcW w:type="dxa" w:w="2016"/>
            <w:vAlign w:val="center"/>
            <w:tcMar>
              <w:top w:w="100" w:type="dxa"/>
              <w:start w:w="120" w:type="dxa"/>
              <w:bottom w:w="100" w:type="dxa"/>
              <w:end w:w="120" w:type="dxa"/>
            </w:tcMar>
          </w:tcPr>
          <w:p>
            <w:pPr>
              <w:spacing w:after="0" w:before="0"/>
            </w:pPr>
            <w:r>
              <w:rPr>
                <w:rFonts w:ascii="Aptos" w:hAnsi="Aptos"/>
                <w:sz w:val="18"/>
              </w:rPr>
              <w:t>BLOCKER</w:t>
            </w:r>
          </w:p>
        </w:tc>
        <w:tc>
          <w:tcPr>
            <w:tcW w:type="dxa" w:w="5184"/>
            <w:vAlign w:val="center"/>
            <w:tcMar>
              <w:top w:w="100" w:type="dxa"/>
              <w:start w:w="120" w:type="dxa"/>
              <w:bottom w:w="100" w:type="dxa"/>
              <w:end w:w="120" w:type="dxa"/>
            </w:tcMar>
          </w:tcPr>
          <w:p>
            <w:pPr>
              <w:spacing w:after="0" w:before="0"/>
            </w:pPr>
            <w:r>
              <w:rPr>
                <w:rFonts w:ascii="Aptos" w:hAnsi="Aptos"/>
                <w:sz w:val="18"/>
              </w:rPr>
              <w:t>DRAFT metric versions must be finalized and activated.</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Governance policy semantics</w:t>
            </w:r>
          </w:p>
        </w:tc>
        <w:tc>
          <w:tcPr>
            <w:tcW w:type="dxa" w:w="2016"/>
            <w:vAlign w:val="center"/>
            <w:tcMar>
              <w:top w:w="100" w:type="dxa"/>
              <w:start w:w="120" w:type="dxa"/>
              <w:bottom w:w="100" w:type="dxa"/>
              <w:end w:w="120" w:type="dxa"/>
            </w:tcMar>
          </w:tcPr>
          <w:p>
            <w:pPr>
              <w:spacing w:after="0" w:before="0"/>
            </w:pPr>
            <w:r>
              <w:rPr>
                <w:rFonts w:ascii="Aptos" w:hAnsi="Aptos"/>
                <w:sz w:val="18"/>
              </w:rPr>
              <w:t>BLOCKER</w:t>
            </w:r>
          </w:p>
        </w:tc>
        <w:tc>
          <w:tcPr>
            <w:tcW w:type="dxa" w:w="5184"/>
            <w:vAlign w:val="center"/>
            <w:tcMar>
              <w:top w:w="100" w:type="dxa"/>
              <w:start w:w="120" w:type="dxa"/>
              <w:bottom w:w="100" w:type="dxa"/>
              <w:end w:w="120" w:type="dxa"/>
            </w:tcMar>
          </w:tcPr>
          <w:p>
            <w:pPr>
              <w:spacing w:after="0" w:before="0"/>
            </w:pPr>
            <w:r>
              <w:rPr>
                <w:rFonts w:ascii="Aptos" w:hAnsi="Aptos"/>
                <w:sz w:val="18"/>
              </w:rPr>
              <w:t>DRAFT policy versions must be finalized and activated.</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Group Quick Add subset reconciliation</w:t>
            </w:r>
          </w:p>
        </w:tc>
        <w:tc>
          <w:tcPr>
            <w:tcW w:type="dxa" w:w="2016"/>
            <w:vAlign w:val="center"/>
            <w:tcMar>
              <w:top w:w="100" w:type="dxa"/>
              <w:start w:w="120" w:type="dxa"/>
              <w:bottom w:w="100" w:type="dxa"/>
              <w:end w:w="120" w:type="dxa"/>
            </w:tcMar>
          </w:tcPr>
          <w:p>
            <w:pPr>
              <w:spacing w:after="0" w:before="0"/>
            </w:pPr>
            <w:r>
              <w:rPr>
                <w:rFonts w:ascii="Aptos" w:hAnsi="Aptos"/>
                <w:sz w:val="18"/>
              </w:rPr>
              <w:t>REVIEW</w:t>
            </w:r>
          </w:p>
        </w:tc>
        <w:tc>
          <w:tcPr>
            <w:tcW w:type="dxa" w:w="5184"/>
            <w:vAlign w:val="center"/>
            <w:tcMar>
              <w:top w:w="100" w:type="dxa"/>
              <w:start w:w="120" w:type="dxa"/>
              <w:bottom w:w="100" w:type="dxa"/>
              <w:end w:w="120" w:type="dxa"/>
            </w:tcMar>
          </w:tcPr>
          <w:p>
            <w:pPr>
              <w:spacing w:after="0" w:before="0"/>
            </w:pPr>
            <w:r>
              <w:rPr>
                <w:rFonts w:ascii="Aptos" w:hAnsi="Aptos"/>
                <w:sz w:val="18"/>
              </w:rPr>
              <w:t>Reconcile per-Moment-Type subsets against the authoritative product matrix.</w:t>
            </w:r>
          </w:p>
        </w:tc>
      </w:tr>
      <w:tr>
        <w:tc>
          <w:tcPr>
            <w:tcW w:type="dxa" w:w="2880"/>
            <w:vAlign w:val="center"/>
            <w:tcMar>
              <w:top w:w="100" w:type="dxa"/>
              <w:start w:w="120" w:type="dxa"/>
              <w:bottom w:w="100" w:type="dxa"/>
              <w:end w:w="120" w:type="dxa"/>
            </w:tcMar>
          </w:tcPr>
          <w:p>
            <w:pPr>
              <w:spacing w:after="0" w:before="0"/>
            </w:pPr>
            <w:r>
              <w:rPr>
                <w:rFonts w:ascii="Aptos" w:hAnsi="Aptos"/>
                <w:b/>
                <w:color w:val="312E81"/>
                <w:sz w:val="18"/>
              </w:rPr>
              <w:t>Role-Permission matrix reconciliation</w:t>
            </w:r>
          </w:p>
        </w:tc>
        <w:tc>
          <w:tcPr>
            <w:tcW w:type="dxa" w:w="2016"/>
            <w:vAlign w:val="center"/>
            <w:tcMar>
              <w:top w:w="100" w:type="dxa"/>
              <w:start w:w="120" w:type="dxa"/>
              <w:bottom w:w="100" w:type="dxa"/>
              <w:end w:w="120" w:type="dxa"/>
            </w:tcMar>
          </w:tcPr>
          <w:p>
            <w:pPr>
              <w:spacing w:after="0" w:before="0"/>
            </w:pPr>
            <w:r>
              <w:rPr>
                <w:rFonts w:ascii="Aptos" w:hAnsi="Aptos"/>
                <w:sz w:val="18"/>
              </w:rPr>
              <w:t>REVIEW</w:t>
            </w:r>
          </w:p>
        </w:tc>
        <w:tc>
          <w:tcPr>
            <w:tcW w:type="dxa" w:w="5184"/>
            <w:vAlign w:val="center"/>
            <w:tcMar>
              <w:top w:w="100" w:type="dxa"/>
              <w:start w:w="120" w:type="dxa"/>
              <w:bottom w:w="100" w:type="dxa"/>
              <w:end w:w="120" w:type="dxa"/>
            </w:tcMar>
          </w:tcPr>
          <w:p>
            <w:pPr>
              <w:spacing w:after="0" w:before="0"/>
            </w:pPr>
            <w:r>
              <w:rPr>
                <w:rFonts w:ascii="Aptos" w:hAnsi="Aptos"/>
                <w:sz w:val="18"/>
              </w:rPr>
              <w:t>Reconcile generated seed matrix against the authoritative Governance matrix.</w:t>
            </w:r>
          </w:p>
        </w:tc>
      </w:tr>
    </w:tbl>
    <w:p>
      <w:pPr>
        <w:pStyle w:val="Heading1"/>
        <w:keepNext/>
      </w:pPr>
      <w:r>
        <w:t>16. Final Reference Architecture</w:t>
      </w:r>
    </w:p>
    <w:tbl>
      <w:tblPr>
        <w:tblW w:type="auto" w:w="0"/>
        <w:jc w:val="center"/>
        <w:tblLook w:firstColumn="1" w:firstRow="1" w:lastColumn="0" w:lastRow="0" w:noHBand="0" w:noVBand="1" w:val="04A0"/>
      </w:tblPr>
      <w:tblGrid>
        <w:gridCol w:w="10080"/>
      </w:tblGrid>
      <w:tr>
        <w:tc>
          <w:tcPr>
            <w:tcW w:type="dxa" w:w="10080"/>
            <w:shd w:fill="E0F2FE"/>
            <w:tcMar>
              <w:top w:w="140" w:type="dxa"/>
              <w:start w:w="160" w:type="dxa"/>
              <w:bottom w:w="140" w:type="dxa"/>
              <w:end w:w="160" w:type="dxa"/>
            </w:tcMar>
          </w:tcPr>
          <w:p>
            <w:r>
              <w:rPr>
                <w:b/>
                <w:color w:val="312E81"/>
                <w:sz w:val="21"/>
              </w:rPr>
              <w:t>Deployment baseline to freeze</w:t>
              <w:br/>
            </w:r>
            <w:r>
              <w:rPr>
                <w:sz w:val="20"/>
              </w:rPr>
              <w:t>TypeScript/Node.js owns Momentra's synchronous application, authentication, transactional Finance, Work, Moments, Governance and projection-read path. FastAPI/Python owns computational intelligence and asynchronous AI/analytics workloads. Supabase PostgreSQL remains the single canonical database. Transactional Outbox and bounded workers connect canonical writes to derived Analytics, Memory, AI and Projection state. Pulse, Moments, Life and Memory are served primarily from projection tables. Security remains layered through verified identity, database RLS, Governance reauthorization and least-privilege worker credentials. MongoDB is not introduced as a second canonical datastore for Phase 1.</w:t>
            </w:r>
          </w:p>
        </w:tc>
      </w:tr>
    </w:tbl>
    <w:p>
      <w:pPr>
        <w:spacing w:after="0"/>
      </w:pPr>
    </w:p>
    <w:p>
      <w:pPr>
        <w:pStyle w:val="Heading1"/>
        <w:keepNext/>
      </w:pPr>
      <w:r>
        <w:t>17. Engineering Handoff Checklist</w:t>
      </w:r>
    </w:p>
    <w:p>
      <w:pPr>
        <w:pStyle w:val="ListBullet"/>
        <w:spacing w:after="60"/>
      </w:pPr>
      <w:r>
        <w:t>Adopt this document as the deployment architecture baseline.</w:t>
      </w:r>
    </w:p>
    <w:p>
      <w:pPr>
        <w:pStyle w:val="ListBullet"/>
        <w:spacing w:after="60"/>
      </w:pPr>
      <w:r>
        <w:t>Keep the Phase 11.9 SQL package immutable while closing remaining release blockers.</w:t>
      </w:r>
    </w:p>
    <w:p>
      <w:pPr>
        <w:pStyle w:val="ListBullet"/>
        <w:spacing w:after="60"/>
      </w:pPr>
      <w:r>
        <w:t>Complete Phase 11.8 before Production RC.</w:t>
      </w:r>
    </w:p>
    <w:p>
      <w:pPr>
        <w:pStyle w:val="ListBullet"/>
        <w:spacing w:after="60"/>
      </w:pPr>
      <w:r>
        <w:t>Create Dokploy services using the responsibility split in Section 9.</w:t>
      </w:r>
    </w:p>
    <w:p>
      <w:pPr>
        <w:pStyle w:val="ListBullet"/>
        <w:spacing w:after="60"/>
      </w:pPr>
      <w:r>
        <w:t>Configure separate database roles/credentials for API and bounded workers.</w:t>
      </w:r>
    </w:p>
    <w:p>
      <w:pPr>
        <w:pStyle w:val="ListBullet"/>
        <w:spacing w:after="60"/>
      </w:pPr>
      <w:r>
        <w:t>Select Hostinger/Supabase regions with low measured network RTT.</w:t>
      </w:r>
    </w:p>
    <w:p>
      <w:pPr>
        <w:pStyle w:val="ListBullet"/>
        <w:spacing w:after="60"/>
      </w:pPr>
      <w:r>
        <w:t>Implement pooled DB connections and instrument pool wait time.</w:t>
      </w:r>
    </w:p>
    <w:p>
      <w:pPr>
        <w:pStyle w:val="ListBullet"/>
        <w:spacing w:after="60"/>
      </w:pPr>
      <w:r>
        <w:t>Use projection endpoints for primary UI screens.</w:t>
      </w:r>
    </w:p>
    <w:p>
      <w:pPr>
        <w:pStyle w:val="ListBullet"/>
        <w:spacing w:after="60"/>
      </w:pPr>
      <w:r>
        <w:t>Implement synchronous command idempotency and optimistic concurrency exactly as frozen in Phases 10/11.</w:t>
      </w:r>
    </w:p>
    <w:p>
      <w:pPr>
        <w:pStyle w:val="ListBullet"/>
        <w:spacing w:after="60"/>
      </w:pPr>
      <w:r>
        <w:t>Instrument Outbox, Analytics, Projection and AI lag before public traffic.</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94A3B8"/>
        <w:sz w:val="16"/>
      </w:rPr>
      <w:t>Momentra - Backend, Runtime &amp; Deployment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12E81"/>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338C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E1B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