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3182ce"/>
          <w:sz w:val="20"/>
          <w:szCs w:val="20"/>
          <w:rtl w:val="0"/>
        </w:rPr>
        <w:t xml:space="preserve">WEBFLUENT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20" w:lineRule="auto"/>
        <w:rPr/>
      </w:pPr>
      <w:r w:rsidDel="00000000" w:rsidR="00000000" w:rsidRPr="00000000">
        <w:rPr>
          <w:b w:val="1"/>
          <w:bCs w:val="1"/>
          <w:color w:val="1a2540"/>
          <w:sz w:val="40"/>
          <w:szCs w:val="40"/>
          <w:rtl w:val="0"/>
        </w:rPr>
        <w:t xml:space="preserve">Product &amp; Business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What WebFluent Studio must do, for whom, and how success is measured — the reference for engineering, design, and stakeholder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Version 0.1  ·  Draft  ·  Owner: Monzer 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3182ce" w:space="1" w:sz="12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1. Purpose &amp;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specifies the functional and non-functional requirements for WebFluent Studio's MVP and near-term releases. It translates the Vision &amp; Mission, User Personas, and Product UX Documentation into concrete, testable requirements an engineer can build against and a stakeholder can hold the product accountable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Related documents: Vision &amp; Mission, User Personas, Product UX Documentation, Product Roadmap, Market Research Report. This document should be read alongside those, not as a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2.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 that non-technical MENA freelancers and small business owners can go from a plain-language prompt to a live, professional website — with zero code shown — inside a single desktop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RTL/Arabic-first compilation and unified web+PDF output as a defensible, currently uncontested differentiator versus Webflow AI, Lovable, Bolt.new, and Playcode.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initial revenue via EGP-denominated local payments (Fawry, InstaPay, mobile wallets), removing the foreign-currency card ceiling that blocks regional adoption of competitor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willingness to pay with 5-10 alpha users before public launch (see Traction &amp; Validation 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3. Success Metrics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600"/>
        <w:tblGridChange w:id="0">
          <w:tblGrid>
            <w:gridCol w:w="2600"/>
            <w:gridCol w:w="22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a254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MVP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Alpha users onboarded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 hands-on usage, not waitlist signups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Free-to-paid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TBD after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reliable baseline yet — placeholder in Financial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 from prompt to live preview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&lt; 60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Core loop must feel instant to a non-technical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Scoped edit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unintended changes outside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Validates the reconciliation engine's core promise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Monthly churn (paid)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≤ 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Placeholder assumption in Financial Model — revisit with real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4.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3182ce"/>
          <w:sz w:val="24"/>
          <w:szCs w:val="24"/>
          <w:rtl w:val="0"/>
        </w:rPr>
        <w:t xml:space="preserve">4.1 In Scope —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Prompt-to-WebFluent generation (text only, no Figma import)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web preview (PDF preview toggle deferred to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Click-to-select scoped editing with AST-based node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Diff Review: before/after scrub, granular chip accept/reject, inline re-prompt, Apply accepted /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prompt chips ("Try it") on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Inspector (color, font size) shown inline before a proposal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RTL/LTR toggle and device size toggle in the preview 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"Compiled" status badge in the top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as an in-place dropdown containing the Advanced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Silent local auto-save version history (no git terminology)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EGP payment integration (Paymob/EasyKash)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functional-error detection and self-healing (scoped to logic/functionality, not design) — see FR-19 through FR-22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3182ce"/>
          <w:sz w:val="24"/>
          <w:szCs w:val="24"/>
          <w:rtl w:val="0"/>
        </w:rPr>
        <w:t xml:space="preserve">4.2 Explicitly Out of Scope —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 design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Multi-select batch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Connect-a-remote git flow (GitHub/GitLab/self-hosted)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share-preview server (Cloudflare Workers + R2)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Paged Media compilation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code view of any kind, at any tier, ever — this is a permanent constraint, not a deferred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5. 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Full profiles are in User Personas. Summary for requirements traceability: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3000"/>
        <w:tblGridChange w:id="0">
          <w:tblGrid>
            <w:gridCol w:w="2800"/>
            <w:gridCol w:w="36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a2540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Requirement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Amina — Boutique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Live site + printable Arabic menu, fast, in EGP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RTL-first compilation, local payments, zero technical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Tarek — Freelance Designer/Agency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Faster client delivery without managing hosting/DB per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Precision scoped editing, git remote (v2), multi-client project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6.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Requirement IDs are stable identifiers for engineering tickets and QA test cases — do not renumber when adding new requirements; append instead.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600"/>
        <w:gridCol w:w="1500"/>
        <w:tblGridChange w:id="0">
          <w:tblGrid>
            <w:gridCol w:w="900"/>
            <w:gridCol w:w="66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1a254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generate a working WebFluent project from a single text 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render a live, auto-updating preview of the compiled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click any rendered element to select it, with the selection visually outlined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scope any AI edit exclusively to the selected node(s) when a selection exists, and to the whole project otherwise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present every proposed AI change as a Visual Diff Review — before/after scrub plus discrete, individually acceptable/rejectable change chips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never display WebFluent source code, compiled code, or any code-like syntax in the UI, under any settings or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apply only the accepted chips from a proposal via "Apply accepted", or discard the full proposal via reset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submit an inline tweak to a pending proposal without starting a new top-level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display one or more suggested ("Try it") prompts relevant to the current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display a Quick Inspector (color, font size) inline for the current selection when no proposal is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toggle the preview between LTR and RTL rendering on demand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toggle preview device size between desktop, tablet, and mobile breakpoints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display a live compile-status indicator in the top 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auto-save a local version checkpoint after every accepted change, without exposing git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shall be able to process subscription payment in EGP via a local payment aggregator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(v2) User shall be able to import a Figma file to seed a new project's structure and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(v2) User shall be able to connect any git remote (not GitHub-exclusive) and choose to push compiled output or a full project backup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(v2) User shall be able to generate a public, expiring share link for the current compiled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automatically detect functional errors in generated output (e.g., JavaScript runtime/console errors, broken bindings, failed compilation steps) during and after compilation, without requiring the user to report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attempt automatic self-correction of detected functional errors without user interference, limited strictly to functional/logic fixes and never altering visual design or layout as a side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log every auto-detected error and its applied fix (or failed fix attempt) in a form surfaced through existing status indicators (e.g., "Compiled" badge), without exposing code or stack traces to the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shall escalate to a visible (non-blocking) notice, rather than silently failing, when an error cannot be auto-fixed after a bounded number of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7. Non-Functional Requirements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400"/>
        <w:gridCol w:w="2700"/>
        <w:tblGridChange w:id="0">
          <w:tblGrid>
            <w:gridCol w:w="900"/>
            <w:gridCol w:w="54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1a2540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Core editing (generation, selection, preview) shall function without requiring a persistent internet connection beyond the AI call itself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MENA connectivity reliability — local-first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AI-scoped edit requests shall exclude unrelated file content via context pruning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Controls LLM cost; targets 60% token payload reduction per prior technical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RTL rendering shall use logical CSS properties, not physical left/right values, across all generated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Single stylesheet must serve both LTR and RTL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Time from prompt submission to first rendered preview shall not exceed 60 seconds for a single-page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Non-technical users will abandon a tool that feels slow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user-identifiable project data shall be transmitted to any third party beyond what's required for the active AI call or payment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Local-first privacy posture, relevant to trust-building in an unfamiliar product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application shall run on standard mid-range consumer hardware without requiring a discrete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Target users are freelancers/small businesses, not developers with high-end machines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Automatic error self-correction (FR-19/FR-20) shall run within a bounded number of retry attempts and shall never modify visual/design properties as a side effect of a functional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Prevents runaway auto-fix loops and protects the design/functionality separation core to the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8. Assumptions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Assumes continued availability and pricing stability of the underlying LLM API — a material cost driver per the Financial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Assumes Paymob/EasyKash remain viable, compliant local payment integration paths through the MVP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Constraint: no code view is a permanent product rule, not a v1 limitation — future requirements must not reintroduce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Assumes the reconciliation engine can reliably isolate AST node boundaries for common cases; edge cases (e.g., a selection spanning half a paragraph) remain an open question, see Product UX Documentation §9.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9. Dependencies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600"/>
        <w:tblGridChange w:id="0">
          <w:tblGrid>
            <w:gridCol w:w="3000"/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a254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54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 if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LLM API (Claude)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External vendor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Core generation/edit loop is fully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Paymob / EasyKash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EGP billing path; blocks primary regional pricing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TIEC / Creativa Hub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Distribution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Go-to-market relies on an alternate, likely costlier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Cloudflare Workers + R2 (v2)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Share-preview and PDF hosting flows 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10. Release Criteria — MVP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P0 functional requirements (FR-1 through FR-7, FR-11, FR-15, FR-19, FR-20) implemented and passing manual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code, in any form, visible anywhere in the shipped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full run-through of Flow A (new project from prompt) and Flow C (scoped edit) completes without a reconciliation failure on a representative test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EGP payment flow tested end-to-end with a real transaction in sandbox or production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 toggle verified against at least one Arabic-content test project for logical-property correctness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50" w:before="360" w:lineRule="auto"/>
        <w:rPr/>
      </w:pPr>
      <w:r w:rsidDel="00000000" w:rsidR="00000000" w:rsidRPr="00000000">
        <w:rPr>
          <w:b w:val="1"/>
          <w:bCs w:val="1"/>
          <w:color w:val="1a2540"/>
          <w:rtl w:val="0"/>
        </w:rPr>
        <w:t xml:space="preserve">11. Open Risks Carried Into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5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Full detail in the Market Research Report and Product UX Documentation §9. Flagged here because they directly threaten specific requirements above: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 node ID drift on manual file edits could undermine FR-4's scoping guarantee — mitigation is a background re-sync parser, not yet a formal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Aggressive AI-driven style updates destabilizing parent layouts could produce visually broken output despite FR-5's review step — needs a containment boundary requirement in a future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cost-per-user (NFR-2, Financial Model) is a placeholder assumption; if real usage exceeds it, Pro-tier unit economics may need repricing before public launch.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WebFluent Studio — Confidential — Product &amp; Business Requirements Document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