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9072"/>
      </w:tblGrid>
      <w:tr>
        <w:tc>
          <w:tcPr>
            <w:tcW w:type="dxa" w:w="9072"/>
            <w:tcBorders>
              <w:top w:val="none" w:color="FFFFFF" w:sz="0" w:space="0"/>
              <w:left w:val="none" w:color="FFFFFF" w:sz="0" w:space="0"/>
              <w:bottom w:val="none" w:color="FFFFFF" w:sz="0" w:space="0"/>
              <w:right w:val="none" w:color="FFFFFF" w:sz="0" w:space="0"/>
            </w:tcBorders>
            <w:shd w:fill="0E2040" w:color="auto" w:val="clear"/>
            <w:tcMar>
              <w:top w:type="dxa" w:w="280"/>
              <w:left w:type="dxa" w:w="360"/>
              <w:bottom w:type="dxa" w:w="280"/>
              <w:right w:type="dxa" w:w="360"/>
            </w:tcMar>
          </w:tcPr>
          <w:p>
            <w:pPr>
              <w:spacing w:after="80" w:before="0" w:line="288" w:lineRule="auto"/>
              <w:jc w:val="left"/>
            </w:pPr>
            <w:r>
              <w:rPr>
                <w:rFonts w:ascii="Calibri" w:cs="Calibri" w:eastAsia="Calibri" w:hAnsi="Calibri"/>
                <w:b/>
                <w:bCs/>
                <w:i w:val="false"/>
                <w:iCs w:val="false"/>
                <w:color w:val="9BB8D4"/>
                <w:sz w:val="17"/>
                <w:szCs w:val="17"/>
              </w:rPr>
              <w:t xml:space="preserve">METHODOLOGY NOTE</w:t>
            </w:r>
          </w:p>
          <w:p>
            <w:pPr>
              <w:spacing w:after="100" w:before="0" w:line="360" w:lineRule="auto"/>
              <w:jc w:val="left"/>
            </w:pPr>
            <w:r>
              <w:rPr>
                <w:rFonts w:ascii="Calibri" w:cs="Calibri" w:eastAsia="Calibri" w:hAnsi="Calibri"/>
                <w:b/>
                <w:bCs/>
                <w:i w:val="false"/>
                <w:iCs w:val="false"/>
                <w:color w:val="FFFFFF"/>
                <w:sz w:val="34"/>
                <w:szCs w:val="34"/>
              </w:rPr>
              <w:t xml:space="preserve">Did the CAPEX and MW Capacity Figures Come from the BESS Tool?</w:t>
            </w:r>
          </w:p>
          <w:p>
            <w:pPr>
              <w:spacing w:after="120" w:before="0" w:line="300" w:lineRule="auto"/>
              <w:jc w:val="left"/>
            </w:pPr>
            <w:r>
              <w:rPr>
                <w:rFonts w:ascii="Calibri" w:cs="Calibri" w:eastAsia="Calibri" w:hAnsi="Calibri"/>
                <w:b w:val="false"/>
                <w:bCs w:val="false"/>
                <w:i w:val="false"/>
                <w:iCs w:val="false"/>
                <w:color w:val="B8D4E8"/>
                <w:sz w:val="20"/>
                <w:szCs w:val="20"/>
              </w:rPr>
              <w:t xml:space="preserve">A detailed account of what the tool produced, what was estimated externally, and what that means for the project.</w:t>
            </w:r>
          </w:p>
          <w:p>
            <w:pPr>
              <w:pBdr>
                <w:bottom w:val="single" w:color="C68A17" w:sz="6" w:space="0"/>
              </w:pBdr>
              <w:spacing w:after="120" w:before="120"/>
            </w:pPr>
            <w:r>
              <w:rPr>
                <w:sz w:val="4"/>
                <w:szCs w:val="4"/>
              </w:rPr>
              <w:t xml:space="preserve"/>
            </w:r>
          </w:p>
          <w:p>
            <w:pPr>
              <w:spacing w:after="40" w:before="60" w:line="288" w:lineRule="auto"/>
              <w:jc w:val="left"/>
            </w:pPr>
            <w:r>
              <w:rPr>
                <w:rFonts w:ascii="Calibri" w:cs="Calibri" w:eastAsia="Calibri" w:hAnsi="Calibri"/>
                <w:b w:val="false"/>
                <w:bCs w:val="false"/>
                <w:i w:val="false"/>
                <w:iCs w:val="false"/>
                <w:color w:val="9BB8D4"/>
                <w:sz w:val="18"/>
                <w:szCs w:val="18"/>
              </w:rPr>
              <w:t xml:space="preserve">Monzia Moodie, Regulatory &amp; Policy Systems Analyst  ·  Kadir Farah, Storage Systems &amp; Development Specialist</w:t>
            </w:r>
          </w:p>
          <w:p>
            <w:pPr>
              <w:spacing w:after="120" w:before="0" w:line="288" w:lineRule="auto"/>
              <w:jc w:val="left"/>
            </w:pPr>
            <w:r>
              <w:rPr>
                <w:rFonts w:ascii="Calibri" w:cs="Calibri" w:eastAsia="Calibri" w:hAnsi="Calibri"/>
                <w:b w:val="false"/>
                <w:bCs w:val="false"/>
                <w:i w:val="false"/>
                <w:iCs w:val="false"/>
                <w:color w:val="6B8FA8"/>
                <w:sz w:val="16"/>
                <w:szCs w:val="16"/>
              </w:rPr>
              <w:t xml:space="preserve">Advisor: Marcus Anum  ·  Sponsor: Ledum Nordee  ·  TPS × MassDOER Fellowship  ·  April 2026</w:t>
            </w:r>
          </w:p>
        </w:tc>
      </w:tr>
    </w:tbl>
    <w:p>
      <w:pPr>
        <w:spacing w:after="0" w:before="200"/>
      </w:pPr>
      <w:r>
        <w:rPr>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A83D28" w:sz="14" w:space="0"/>
              <w:bottom w:val="none" w:color="FFFFFF" w:sz="0" w:space="0"/>
              <w:right w:val="none" w:color="FFFFFF" w:sz="0" w:space="0"/>
            </w:tcBorders>
            <w:shd w:fill="A83D28" w:color="auto" w:val="clear"/>
            <w:tcMar>
              <w:top w:type="dxa" w:w="80"/>
              <w:left w:type="dxa" w:w="0"/>
              <w:bottom w:type="dxa" w:w="80"/>
              <w:right w:type="dxa" w:w="0"/>
            </w:tcMar>
          </w:tcPr>
          <w:p>
            <w:pPr>
              <w:spacing w:after="120" w:before="0" w:line="288" w:lineRule="auto"/>
              <w:jc w:val="left"/>
            </w:pPr>
            <w:r>
              <w:rPr>
                <w:rFonts w:ascii="Calibri" w:cs="Calibri" w:eastAsia="Calibri" w:hAnsi="Calibri"/>
                <w:b w:val="false"/>
                <w:bCs w:val="false"/>
                <w:i w:val="false"/>
                <w:iCs w:val="false"/>
                <w:color w:val="1A1A2E"/>
                <w:sz w:val="4"/>
                <w:szCs w:val="4"/>
              </w:rPr>
              <w:t xml:space="preserve"/>
            </w:r>
          </w:p>
        </w:tc>
        <w:tc>
          <w:tcPr>
            <w:tcW w:type="dxa" w:w="8792"/>
            <w:tcBorders>
              <w:top w:val="single" w:color="0D7C7B" w:sz="1" w:space="0"/>
              <w:left w:val="none" w:color="FFFFFF" w:sz="0" w:space="0"/>
              <w:bottom w:val="single" w:color="0D7C7B" w:sz="1" w:space="0"/>
              <w:right w:val="none" w:color="FFFFFF" w:sz="0" w:space="0"/>
            </w:tcBorders>
            <w:shd w:fill="EAF5F4" w:color="auto" w:val="clear"/>
            <w:tcMar>
              <w:top w:type="dxa" w:w="80"/>
              <w:left w:type="dxa" w:w="200"/>
              <w:bottom w:type="dxa" w:w="80"/>
              <w:right w:type="dxa" w:w="120"/>
            </w:tcMar>
          </w:tcPr>
          <w:p>
            <w:pPr>
              <w:spacing w:after="40" w:before="0" w:line="288" w:lineRule="auto"/>
              <w:jc w:val="left"/>
            </w:pPr>
            <w:r>
              <w:rPr>
                <w:rFonts w:ascii="Calibri" w:cs="Calibri" w:eastAsia="Calibri" w:hAnsi="Calibri"/>
                <w:b/>
                <w:bCs/>
                <w:i w:val="false"/>
                <w:iCs w:val="false"/>
                <w:color w:val="A83D28"/>
                <w:sz w:val="17"/>
                <w:szCs w:val="17"/>
              </w:rPr>
              <w:t xml:space="preserve">SHORT ANSWER</w:t>
            </w:r>
          </w:p>
          <w:p>
            <w:pPr>
              <w:spacing w:after="120" w:before="0" w:line="292" w:lineRule="auto"/>
              <w:jc w:val="left"/>
            </w:pPr>
            <w:r>
              <w:rPr>
                <w:rFonts w:ascii="Calibri" w:cs="Calibri" w:eastAsia="Calibri" w:hAnsi="Calibri"/>
                <w:b w:val="false"/>
                <w:bCs w:val="false"/>
                <w:i w:val="false"/>
                <w:iCs w:val="false"/>
                <w:color w:val="1A1A2E"/>
                <w:sz w:val="19"/>
                <w:szCs w:val="19"/>
              </w:rPr>
              <w:t xml:space="preserve">No. The CAPEX figures and MW capacity sizes in the presentation were not direct outputs of the BESS siting tool. They were derived separately from published benchmarks and applied as manual estimates on top of the tool’s scoring outputs. The full accounting follows below.</w:t>
            </w:r>
          </w:p>
        </w:tc>
      </w:tr>
    </w:tbl>
    <w:p>
      <w:pPr>
        <w:spacing w:after="0" w:before="160"/>
      </w:pPr>
      <w:r>
        <w:rPr>
          <w:sz w:val="2"/>
          <w:szCs w:val="2"/>
        </w:rPr>
        <w:t xml:space="preserve"/>
      </w:r>
    </w:p>
    <w:p>
      <w:pPr>
        <w:pBdr>
          <w:top w:val="single" w:color="0E2040" w:sz="2" w:space="0"/>
          <w:bottom w:val="single" w:color="0E2040" w:sz="8" w:space="0"/>
        </w:pBdr>
        <w:shd w:fill="E8EDF3" w:color="auto" w:val="clear"/>
        <w:spacing w:after="120" w:before="320" w:line="288" w:lineRule="auto"/>
      </w:pPr>
      <w:r>
        <w:rPr>
          <w:rFonts w:ascii="Calibri" w:cs="Calibri" w:eastAsia="Calibri" w:hAnsi="Calibri"/>
          <w:b/>
          <w:bCs/>
          <w:i w:val="false"/>
          <w:iCs w:val="false"/>
          <w:color w:val="0E2040"/>
          <w:sz w:val="28"/>
          <w:szCs w:val="28"/>
        </w:rPr>
        <w:t xml:space="preserve">1.  Where the CAPEX Numbers Came From</w:t>
      </w:r>
    </w:p>
    <w:p>
      <w:pPr>
        <w:spacing w:after="60" w:before="40" w:line="296" w:lineRule="auto"/>
        <w:jc w:val="left"/>
      </w:pPr>
      <w:r>
        <w:rPr>
          <w:rFonts w:ascii="Calibri" w:cs="Calibri" w:eastAsia="Calibri" w:hAnsi="Calibri"/>
          <w:b w:val="false"/>
          <w:bCs w:val="false"/>
          <w:i w:val="false"/>
          <w:iCs w:val="false"/>
          <w:color w:val="1A1A2E"/>
          <w:sz w:val="20"/>
          <w:szCs w:val="20"/>
        </w:rPr>
        <w:t xml:space="preserve">The CAPEX figures were calculated using a straightforward formula applied outside the tool:</w:t>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9072"/>
      </w:tblGrid>
      <w:tr>
        <w:tc>
          <w:tcPr>
            <w:tcW w:type="dxa" w:w="9072"/>
            <w:tcBorders>
              <w:top w:val="none" w:color="FFFFFF" w:sz="0" w:space="0"/>
              <w:left w:val="single" w:color="0D7C7B" w:sz="8" w:space="0"/>
              <w:bottom w:val="none" w:color="FFFFFF" w:sz="0" w:space="0"/>
              <w:right w:val="none" w:color="FFFFFF" w:sz="0" w:space="0"/>
            </w:tcBorders>
            <w:shd w:fill="E8EDF3" w:color="auto" w:val="clear"/>
            <w:tcMar>
              <w:top w:type="dxa" w:w="80"/>
              <w:left w:type="dxa" w:w="200"/>
              <w:bottom w:type="dxa" w:w="80"/>
              <w:right w:type="dxa" w:w="120"/>
            </w:tcMar>
          </w:tcPr>
          <w:p>
            <w:pPr>
              <w:spacing w:after="120" w:before="0" w:line="288" w:lineRule="auto"/>
              <w:jc w:val="left"/>
            </w:pPr>
            <w:r>
              <w:rPr>
                <w:rFonts w:ascii="Calibri" w:cs="Calibri" w:eastAsia="Calibri" w:hAnsi="Calibri"/>
                <w:b/>
                <w:bCs/>
                <w:i w:val="false"/>
                <w:iCs w:val="false"/>
                <w:color w:val="0D7C7B"/>
                <w:sz w:val="20"/>
                <w:szCs w:val="20"/>
              </w:rPr>
              <w:t xml:space="preserve">Gross CAPEX  =  Modeled MWh Capacity  ×  NREL 2024 Installed Cost Benchmark</w:t>
            </w:r>
          </w:p>
        </w:tc>
      </w:tr>
    </w:tbl>
    <w:p>
      <w:pPr>
        <w:spacing w:after="0" w:before="80"/>
      </w:pPr>
      <w:r>
        <w:rPr>
          <w:sz w:val="2"/>
          <w:szCs w:val="2"/>
        </w:rPr>
        <w:t xml:space="preserve"/>
      </w:r>
    </w:p>
    <w:p>
      <w:pPr>
        <w:spacing w:after="40" w:before="40" w:line="296" w:lineRule="auto"/>
        <w:jc w:val="left"/>
      </w:pPr>
      <w:r>
        <w:rPr>
          <w:rFonts w:ascii="Calibri" w:cs="Calibri" w:eastAsia="Calibri" w:hAnsi="Calibri"/>
          <w:b w:val="false"/>
          <w:bCs w:val="false"/>
          <w:i w:val="false"/>
          <w:iCs w:val="false"/>
          <w:color w:val="1A1A2E"/>
          <w:sz w:val="20"/>
          <w:szCs w:val="20"/>
        </w:rPr>
        <w:t xml:space="preserve">The NREL 2024 Q1 benchmark used was  $334/kWh  for a 4-hour utility-scale LFP system, sourced from:</w:t>
      </w:r>
    </w:p>
    <w:p>
      <w:pPr>
        <w:pStyle w:val="ListParagraph"/>
        <w:numPr>
          <w:ilvl w:val="0"/>
          <w:numId w:val="2"/>
        </w:numPr>
        <w:spacing w:after="50" w:before="50" w:line="280" w:lineRule="auto"/>
      </w:pPr>
      <w:r>
        <w:rPr>
          <w:rFonts w:ascii="Calibri" w:cs="Calibri" w:eastAsia="Calibri" w:hAnsi="Calibri"/>
          <w:b w:val="false"/>
          <w:bCs w:val="false"/>
          <w:i w:val="false"/>
          <w:iCs w:val="false"/>
          <w:color w:val="1A1A2E"/>
          <w:sz w:val="20"/>
          <w:szCs w:val="20"/>
        </w:rPr>
        <w:t xml:space="preserve">NREL 2025 Battery Storage Cost Projections Update — DOI: 10.2172/2583471</w:t>
      </w:r>
    </w:p>
    <w:p>
      <w:pPr>
        <w:pStyle w:val="ListParagraph"/>
        <w:numPr>
          <w:ilvl w:val="0"/>
          <w:numId w:val="2"/>
        </w:numPr>
        <w:spacing w:after="50" w:before="50" w:line="280" w:lineRule="auto"/>
      </w:pPr>
      <w:r>
        <w:rPr>
          <w:rFonts w:ascii="Calibri" w:cs="Calibri" w:eastAsia="Calibri" w:hAnsi="Calibri"/>
          <w:b w:val="false"/>
          <w:bCs w:val="false"/>
          <w:i w:val="false"/>
          <w:iCs w:val="false"/>
          <w:color w:val="1A1A2E"/>
          <w:sz w:val="20"/>
          <w:szCs w:val="20"/>
        </w:rPr>
        <w:t xml:space="preserve">NREL 2024 Annual Technology Baseline (ATB) — atb.nrel.gov/electricity/2024/utility-scale_battery_storage</w:t>
      </w:r>
    </w:p>
    <w:p>
      <w:pPr>
        <w:spacing w:after="0" w:before="80"/>
      </w:pPr>
      <w:r>
        <w:rPr>
          <w:sz w:val="2"/>
          <w:szCs w:val="2"/>
        </w:rPr>
        <w:t xml:space="preserve"/>
      </w:r>
    </w:p>
    <w:p>
      <w:pPr>
        <w:spacing w:after="60" w:before="0" w:line="296" w:lineRule="auto"/>
        <w:jc w:val="left"/>
      </w:pPr>
      <w:r>
        <w:rPr>
          <w:rFonts w:ascii="Calibri" w:cs="Calibri" w:eastAsia="Calibri" w:hAnsi="Calibri"/>
          <w:b w:val="false"/>
          <w:bCs w:val="false"/>
          <w:i w:val="false"/>
          <w:iCs w:val="false"/>
          <w:color w:val="1A1A2E"/>
          <w:sz w:val="20"/>
          <w:szCs w:val="20"/>
        </w:rPr>
        <w:t xml:space="preserve">Applied to the two modeled project sites:</w:t>
      </w:r>
    </w:p>
    <w:tbl>
      <w:tblPr>
        <w:tblW w:type="dxa" w:w="9072"/>
        <w:tblBorders>
          <w:top w:val="single" w:color="CCCCCC" w:sz="1" w:space="0"/>
          <w:left w:val="single" w:color="CCCCCC" w:sz="1" w:space="0"/>
          <w:bottom w:val="single" w:color="CCCCCC" w:sz="1" w:space="0"/>
          <w:right w:val="single" w:color="CCCCCC" w:sz="1" w:space="0"/>
          <w:insideH w:val="single" w:color="auto" w:sz="4"/>
          <w:insideV w:val="single" w:color="auto" w:sz="4"/>
        </w:tblBorders>
      </w:tblPr>
      <w:tblGrid>
        <w:gridCol w:w="2400"/>
        <w:gridCol w:w="900"/>
        <w:gridCol w:w="1400"/>
        <w:gridCol w:w="1300"/>
        <w:gridCol w:w="3072"/>
      </w:tblGrid>
      <w:tr>
        <w:trPr>
          <w:tblHeader/>
        </w:trPr>
        <w:tc>
          <w:tcPr>
            <w:tcW w:type="dxa" w:w="240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vAlign w:val="center"/>
          </w:tcPr>
          <w:p>
            <w:pPr>
              <w:spacing w:after="120" w:before="0" w:line="288" w:lineRule="auto"/>
              <w:jc w:val="center"/>
            </w:pPr>
            <w:r>
              <w:rPr>
                <w:rFonts w:ascii="Calibri" w:cs="Calibri" w:eastAsia="Calibri" w:hAnsi="Calibri"/>
                <w:b/>
                <w:bCs/>
                <w:i w:val="false"/>
                <w:iCs w:val="false"/>
                <w:color w:val="FFFFFF"/>
                <w:sz w:val="18"/>
                <w:szCs w:val="18"/>
              </w:rPr>
              <w:t xml:space="preserve">Site</w:t>
            </w:r>
          </w:p>
        </w:tc>
        <w:tc>
          <w:tcPr>
            <w:tcW w:type="dxa" w:w="90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vAlign w:val="center"/>
          </w:tcPr>
          <w:p>
            <w:pPr>
              <w:spacing w:after="120" w:before="0" w:line="288" w:lineRule="auto"/>
              <w:jc w:val="center"/>
            </w:pPr>
            <w:r>
              <w:rPr>
                <w:rFonts w:ascii="Calibri" w:cs="Calibri" w:eastAsia="Calibri" w:hAnsi="Calibri"/>
                <w:b/>
                <w:bCs/>
                <w:i w:val="false"/>
                <w:iCs w:val="false"/>
                <w:color w:val="FFFFFF"/>
                <w:sz w:val="18"/>
                <w:szCs w:val="18"/>
              </w:rPr>
              <w:t xml:space="preserve">Duration</w:t>
            </w:r>
          </w:p>
        </w:tc>
        <w:tc>
          <w:tcPr>
            <w:tcW w:type="dxa" w:w="140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vAlign w:val="center"/>
          </w:tcPr>
          <w:p>
            <w:pPr>
              <w:spacing w:after="120" w:before="0" w:line="288" w:lineRule="auto"/>
              <w:jc w:val="center"/>
            </w:pPr>
            <w:r>
              <w:rPr>
                <w:rFonts w:ascii="Calibri" w:cs="Calibri" w:eastAsia="Calibri" w:hAnsi="Calibri"/>
                <w:b/>
                <w:bCs/>
                <w:i w:val="false"/>
                <w:iCs w:val="false"/>
                <w:color w:val="FFFFFF"/>
                <w:sz w:val="18"/>
                <w:szCs w:val="18"/>
              </w:rPr>
              <w:t xml:space="preserve">MWh Capacity</w:t>
            </w:r>
          </w:p>
        </w:tc>
        <w:tc>
          <w:tcPr>
            <w:tcW w:type="dxa" w:w="130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vAlign w:val="center"/>
          </w:tcPr>
          <w:p>
            <w:pPr>
              <w:spacing w:after="120" w:before="0" w:line="288" w:lineRule="auto"/>
              <w:jc w:val="center"/>
            </w:pPr>
            <w:r>
              <w:rPr>
                <w:rFonts w:ascii="Calibri" w:cs="Calibri" w:eastAsia="Calibri" w:hAnsi="Calibri"/>
                <w:b/>
                <w:bCs/>
                <w:i w:val="false"/>
                <w:iCs w:val="false"/>
                <w:color w:val="FFFFFF"/>
                <w:sz w:val="18"/>
                <w:szCs w:val="18"/>
              </w:rPr>
              <w:t xml:space="preserve">Cost Rate</w:t>
            </w:r>
          </w:p>
        </w:tc>
        <w:tc>
          <w:tcPr>
            <w:tcW w:type="dxa" w:w="3072"/>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vAlign w:val="center"/>
          </w:tcPr>
          <w:p>
            <w:pPr>
              <w:spacing w:after="120" w:before="0" w:line="288" w:lineRule="auto"/>
              <w:jc w:val="center"/>
            </w:pPr>
            <w:r>
              <w:rPr>
                <w:rFonts w:ascii="Calibri" w:cs="Calibri" w:eastAsia="Calibri" w:hAnsi="Calibri"/>
                <w:b/>
                <w:bCs/>
                <w:i w:val="false"/>
                <w:iCs w:val="false"/>
                <w:color w:val="FFFFFF"/>
                <w:sz w:val="18"/>
                <w:szCs w:val="18"/>
              </w:rPr>
              <w:t xml:space="preserve">Gross CAPEX</w:t>
            </w:r>
          </w:p>
        </w:tc>
      </w:tr>
      <w:tr>
        <w:tc>
          <w:tcPr>
            <w:tcW w:type="dxa" w:w="24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231 Beacham St, Everett</w:t>
            </w:r>
          </w:p>
        </w:tc>
        <w:tc>
          <w:tcPr>
            <w:tcW w:type="dxa" w:w="9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8 hr</w:t>
            </w:r>
          </w:p>
        </w:tc>
        <w:tc>
          <w:tcPr>
            <w:tcW w:type="dxa" w:w="14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800 MWh</w:t>
            </w:r>
          </w:p>
        </w:tc>
        <w:tc>
          <w:tcPr>
            <w:tcW w:type="dxa" w:w="13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$334/kWh</w:t>
            </w:r>
          </w:p>
        </w:tc>
        <w:tc>
          <w:tcPr>
            <w:tcW w:type="dxa" w:w="30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bCs/>
                <w:i w:val="false"/>
                <w:iCs w:val="false"/>
                <w:color w:val="0D7C7B"/>
                <w:sz w:val="19"/>
                <w:szCs w:val="19"/>
              </w:rPr>
              <w:t xml:space="preserve">$267M</w:t>
            </w:r>
          </w:p>
        </w:tc>
      </w:tr>
      <w:tr>
        <w:tc>
          <w:tcPr>
            <w:tcW w:type="dxa" w:w="24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283 Eastern Ave, Chelsea</w:t>
            </w:r>
          </w:p>
        </w:tc>
        <w:tc>
          <w:tcPr>
            <w:tcW w:type="dxa" w:w="9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4 hr</w:t>
            </w:r>
          </w:p>
        </w:tc>
        <w:tc>
          <w:tcPr>
            <w:tcW w:type="dxa" w:w="14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120 MWh</w:t>
            </w:r>
          </w:p>
        </w:tc>
        <w:tc>
          <w:tcPr>
            <w:tcW w:type="dxa" w:w="13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$334/kWh</w:t>
            </w:r>
          </w:p>
        </w:tc>
        <w:tc>
          <w:tcPr>
            <w:tcW w:type="dxa" w:w="30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bCs/>
                <w:i w:val="false"/>
                <w:iCs w:val="false"/>
                <w:color w:val="A83D28"/>
                <w:sz w:val="19"/>
                <w:szCs w:val="19"/>
              </w:rPr>
              <w:t xml:space="preserve">~$40M</w:t>
            </w:r>
          </w:p>
        </w:tc>
      </w:tr>
    </w:tbl>
    <w:p>
      <w:pPr>
        <w:spacing w:after="0" w:before="80"/>
      </w:pPr>
      <w:r>
        <w:rPr>
          <w:sz w:val="2"/>
          <w:szCs w:val="2"/>
        </w:rPr>
        <w:t xml:space="preserve"/>
      </w:r>
    </w:p>
    <w:p>
      <w:pPr>
        <w:spacing w:after="60" w:before="40" w:line="296" w:lineRule="auto"/>
        <w:jc w:val="left"/>
      </w:pPr>
      <w:r>
        <w:rPr>
          <w:rFonts w:ascii="Calibri" w:cs="Calibri" w:eastAsia="Calibri" w:hAnsi="Calibri"/>
          <w:b w:val="false"/>
          <w:bCs w:val="false"/>
          <w:i w:val="false"/>
          <w:iCs w:val="false"/>
          <w:color w:val="1A1A2E"/>
          <w:sz w:val="20"/>
          <w:szCs w:val="20"/>
        </w:rPr>
        <w:t xml:space="preserve">The net CAPEX figures (at 30% and 50% ITC) were then calculated by applying the ITC percentages that the tool’s EJ and physical feasibility layers confirmed as applicable:</w:t>
      </w:r>
    </w:p>
    <w:p>
      <w:pPr>
        <w:pStyle w:val="ListParagraph"/>
        <w:numPr>
          <w:ilvl w:val="0"/>
          <w:numId w:val="2"/>
        </w:numPr>
        <w:spacing w:after="50" w:before="50" w:line="280" w:lineRule="auto"/>
      </w:pPr>
      <w:r>
        <w:rPr>
          <w:rFonts w:ascii="Calibri" w:cs="Calibri" w:eastAsia="Calibri" w:hAnsi="Calibri"/>
          <w:b w:val="false"/>
          <w:bCs w:val="false"/>
          <w:i w:val="false"/>
          <w:iCs w:val="false"/>
          <w:color w:val="1A1A2E"/>
          <w:sz w:val="20"/>
          <w:szCs w:val="20"/>
        </w:rPr>
        <w:t xml:space="preserve">30% ITC: Prevailing Wage &amp; Apprenticeship base rate (Section 48E, OBBBA July 2025)</w:t>
      </w:r>
    </w:p>
    <w:p>
      <w:pPr>
        <w:pStyle w:val="ListParagraph"/>
        <w:numPr>
          <w:ilvl w:val="0"/>
          <w:numId w:val="2"/>
        </w:numPr>
        <w:spacing w:after="50" w:before="50" w:line="280" w:lineRule="auto"/>
      </w:pPr>
      <w:r>
        <w:rPr>
          <w:rFonts w:ascii="Calibri" w:cs="Calibri" w:eastAsia="Calibri" w:hAnsi="Calibri"/>
          <w:b w:val="false"/>
          <w:bCs w:val="false"/>
          <w:i w:val="false"/>
          <w:iCs w:val="false"/>
          <w:color w:val="1A1A2E"/>
          <w:sz w:val="20"/>
          <w:szCs w:val="20"/>
        </w:rPr>
        <w:t xml:space="preserve">50% ITC: PWA (30%) + Energy Community bonus (+10%) for brownfield/former industrial sites</w:t>
      </w:r>
    </w:p>
    <w:p>
      <w:pPr>
        <w:pStyle w:val="ListParagraph"/>
        <w:numPr>
          <w:ilvl w:val="0"/>
          <w:numId w:val="2"/>
        </w:numPr>
        <w:spacing w:after="50" w:before="50" w:line="280" w:lineRule="auto"/>
      </w:pPr>
      <w:r>
        <w:rPr>
          <w:rFonts w:ascii="Calibri" w:cs="Calibri" w:eastAsia="Calibri" w:hAnsi="Calibri"/>
          <w:b w:val="false"/>
          <w:bCs w:val="false"/>
          <w:i w:val="false"/>
          <w:iCs w:val="false"/>
          <w:color w:val="1A1A2E"/>
          <w:sz w:val="20"/>
          <w:szCs w:val="20"/>
        </w:rPr>
        <w:t xml:space="preserve">Up to 70% ITC when Low-Income Community bonus (+10–20%) is added for EJ-designated census tracts</w:t>
      </w:r>
    </w:p>
    <w:p>
      <w:pPr>
        <w:spacing w:after="0" w:before="80"/>
      </w:pPr>
      <w:r>
        <w:rPr>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C68A17" w:sz="14" w:space="0"/>
              <w:bottom w:val="none" w:color="FFFFFF" w:sz="0" w:space="0"/>
              <w:right w:val="none" w:color="FFFFFF" w:sz="0" w:space="0"/>
            </w:tcBorders>
            <w:shd w:fill="C68A17" w:color="auto" w:val="clear"/>
            <w:tcMar>
              <w:top w:type="dxa" w:w="80"/>
              <w:left w:type="dxa" w:w="0"/>
              <w:bottom w:type="dxa" w:w="80"/>
              <w:right w:type="dxa" w:w="0"/>
            </w:tcMar>
          </w:tcPr>
          <w:p>
            <w:pPr>
              <w:spacing w:after="120" w:before="0" w:line="288" w:lineRule="auto"/>
              <w:jc w:val="left"/>
            </w:pPr>
            <w:r>
              <w:rPr>
                <w:rFonts w:ascii="Calibri" w:cs="Calibri" w:eastAsia="Calibri" w:hAnsi="Calibri"/>
                <w:b w:val="false"/>
                <w:bCs w:val="false"/>
                <w:i w:val="false"/>
                <w:iCs w:val="false"/>
                <w:color w:val="1A1A2E"/>
                <w:sz w:val="4"/>
                <w:szCs w:val="4"/>
              </w:rPr>
              <w:t xml:space="preserve"/>
            </w:r>
          </w:p>
        </w:tc>
        <w:tc>
          <w:tcPr>
            <w:tcW w:type="dxa" w:w="8792"/>
            <w:tcBorders>
              <w:top w:val="single" w:color="0D7C7B" w:sz="1" w:space="0"/>
              <w:left w:val="none" w:color="FFFFFF" w:sz="0" w:space="0"/>
              <w:bottom w:val="single" w:color="0D7C7B" w:sz="1" w:space="0"/>
              <w:right w:val="none" w:color="FFFFFF" w:sz="0" w:space="0"/>
            </w:tcBorders>
            <w:shd w:fill="EAF5F4" w:color="auto" w:val="clear"/>
            <w:tcMar>
              <w:top w:type="dxa" w:w="80"/>
              <w:left w:type="dxa" w:w="200"/>
              <w:bottom w:type="dxa" w:w="80"/>
              <w:right w:type="dxa" w:w="120"/>
            </w:tcMar>
          </w:tcPr>
          <w:p>
            <w:pPr>
              <w:spacing w:after="40" w:before="0" w:line="288" w:lineRule="auto"/>
              <w:jc w:val="left"/>
            </w:pPr>
            <w:r>
              <w:rPr>
                <w:rFonts w:ascii="Calibri" w:cs="Calibri" w:eastAsia="Calibri" w:hAnsi="Calibri"/>
                <w:b/>
                <w:bCs/>
                <w:i w:val="false"/>
                <w:iCs w:val="false"/>
                <w:color w:val="C68A17"/>
                <w:sz w:val="17"/>
                <w:szCs w:val="17"/>
              </w:rPr>
              <w:t xml:space="preserve">IMPORTANT LIMITATION</w:t>
            </w:r>
          </w:p>
          <w:p>
            <w:pPr>
              <w:spacing w:after="120" w:before="0" w:line="292" w:lineRule="auto"/>
              <w:jc w:val="left"/>
            </w:pPr>
            <w:r>
              <w:rPr>
                <w:rFonts w:ascii="Calibri" w:cs="Calibri" w:eastAsia="Calibri" w:hAnsi="Calibri"/>
                <w:b w:val="false"/>
                <w:bCs w:val="false"/>
                <w:i w:val="false"/>
                <w:iCs w:val="false"/>
                <w:color w:val="1A1A2E"/>
                <w:sz w:val="19"/>
                <w:szCs w:val="19"/>
              </w:rPr>
              <w:t xml:space="preserve">The $334/kWh benchmark is for a 4-hour system. An 8-hour system carries a different cost profile — the higher energy-to-power ratio typically reduces per-kWh cost for longer durations, but NREL’s ATB does not provide a distinct 8hr benchmark at this specificity. The same $334/kWh figure was applied to Everett’s 8hr system, which slightly overstates gross CAPEX. A more precise model would use duration-adjusted cost curves from NREL’s full scenario library.</w:t>
            </w:r>
          </w:p>
        </w:tc>
      </w:tr>
    </w:tbl>
    <w:p>
      <w:pPr>
        <w:spacing w:after="0" w:before="80"/>
      </w:pPr>
      <w:r>
        <w:rPr>
          <w:sz w:val="2"/>
          <w:szCs w:val="2"/>
        </w:rPr>
        <w:t xml:space="preserve"/>
      </w:r>
    </w:p>
    <w:p>
      <w:pPr>
        <w:spacing w:after="100" w:before="40" w:line="296" w:lineRule="auto"/>
        <w:jc w:val="left"/>
      </w:pPr>
      <w:r>
        <w:rPr>
          <w:rFonts w:ascii="Calibri" w:cs="Calibri" w:eastAsia="Calibri" w:hAnsi="Calibri"/>
          <w:b w:val="false"/>
          <w:bCs w:val="false"/>
          <w:i w:val="false"/>
          <w:iCs w:val="false"/>
          <w:color w:val="1A1A2E"/>
          <w:sz w:val="20"/>
          <w:szCs w:val="20"/>
        </w:rPr>
        <w:t xml:space="preserve">The tool itself identified that both sites qualify for the energy community and low-income community ITC bonuses through its Layer 1 (EJ &amp; Regulatory) and Layer 4 (Physical Feasibility) outputs. But the CAPEX arithmetic — multiplying MWh by $/kWh and then applying ITC percentages — was performed outside the tool using those flags as inputs.</w:t>
      </w:r>
    </w:p>
    <w:p>
      <w:pPr>
        <w:pBdr>
          <w:top w:val="single" w:color="0E2040" w:sz="2" w:space="0"/>
          <w:bottom w:val="single" w:color="0E2040" w:sz="8" w:space="0"/>
        </w:pBdr>
        <w:shd w:fill="E8EDF3" w:color="auto" w:val="clear"/>
        <w:spacing w:after="120" w:before="320" w:line="288" w:lineRule="auto"/>
      </w:pPr>
      <w:r>
        <w:rPr>
          <w:rFonts w:ascii="Calibri" w:cs="Calibri" w:eastAsia="Calibri" w:hAnsi="Calibri"/>
          <w:b/>
          <w:bCs/>
          <w:i w:val="false"/>
          <w:iCs w:val="false"/>
          <w:color w:val="0E2040"/>
          <w:sz w:val="28"/>
          <w:szCs w:val="28"/>
        </w:rPr>
        <w:t xml:space="preserve">2.  Where the MW/MWh Capacity Figures Came From</w:t>
      </w:r>
    </w:p>
    <w:p>
      <w:pPr>
        <w:spacing w:after="60" w:before="40" w:line="296" w:lineRule="auto"/>
        <w:jc w:val="left"/>
      </w:pPr>
      <w:r>
        <w:rPr>
          <w:rFonts w:ascii="Calibri" w:cs="Calibri" w:eastAsia="Calibri" w:hAnsi="Calibri"/>
          <w:b w:val="false"/>
          <w:bCs w:val="false"/>
          <w:i w:val="false"/>
          <w:iCs w:val="false"/>
          <w:color w:val="1A1A2E"/>
          <w:sz w:val="20"/>
          <w:szCs w:val="20"/>
        </w:rPr>
        <w:t xml:space="preserve">This is where the most important distinction lies. The tool’s Physical Feasibility layer (Layer 4) does produce a maximum feasible MW estimate — using this logic:</w:t>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9072"/>
      </w:tblGrid>
      <w:tr>
        <w:tc>
          <w:tcPr>
            <w:tcW w:type="dxa" w:w="9072"/>
            <w:tcBorders>
              <w:top w:val="none" w:color="FFFFFF" w:sz="0" w:space="0"/>
              <w:left w:val="single" w:color="2A6145" w:sz="8" w:space="0"/>
              <w:bottom w:val="none" w:color="FFFFFF" w:sz="0" w:space="0"/>
              <w:right w:val="none" w:color="FFFFFF" w:sz="0" w:space="0"/>
            </w:tcBorders>
            <w:shd w:fill="EAF5EF" w:color="auto" w:val="clear"/>
            <w:tcMar>
              <w:top w:type="dxa" w:w="80"/>
              <w:left w:type="dxa" w:w="200"/>
              <w:bottom w:type="dxa" w:w="80"/>
              <w:right w:type="dxa" w:w="120"/>
            </w:tcMar>
          </w:tcPr>
          <w:p>
            <w:pPr>
              <w:spacing w:after="120" w:before="0" w:line="288" w:lineRule="auto"/>
              <w:jc w:val="left"/>
            </w:pPr>
            <w:r>
              <w:rPr>
                <w:rFonts w:ascii="Calibri" w:cs="Calibri" w:eastAsia="Calibri" w:hAnsi="Calibri"/>
                <w:b/>
                <w:bCs/>
                <w:i w:val="false"/>
                <w:iCs w:val="false"/>
                <w:color w:val="2A6145"/>
                <w:sz w:val="20"/>
                <w:szCs w:val="20"/>
              </w:rPr>
              <w:t xml:space="preserve">Net Buildable Area (sq ft, after setbacks) × Power Density (kW/sq ft for containerized LFP) = Maximum MW</w:t>
            </w:r>
          </w:p>
        </w:tc>
      </w:tr>
    </w:tbl>
    <w:p>
      <w:pPr>
        <w:spacing w:after="0" w:before="80"/>
      </w:pPr>
      <w:r>
        <w:rPr>
          <w:sz w:val="2"/>
          <w:szCs w:val="2"/>
        </w:rPr>
        <w:t xml:space="preserve"/>
      </w:r>
    </w:p>
    <w:p>
      <w:pPr>
        <w:spacing w:after="60" w:before="40" w:line="296" w:lineRule="auto"/>
        <w:jc w:val="left"/>
      </w:pPr>
      <w:r>
        <w:rPr>
          <w:rFonts w:ascii="Calibri" w:cs="Calibri" w:eastAsia="Calibri" w:hAnsi="Calibri"/>
          <w:b w:val="false"/>
          <w:bCs w:val="false"/>
          <w:i w:val="false"/>
          <w:iCs w:val="false"/>
          <w:color w:val="1A1A2E"/>
          <w:sz w:val="20"/>
          <w:szCs w:val="20"/>
        </w:rPr>
        <w:t xml:space="preserve">For the Everett municipality overall, the tool assigned a Physical Feasibility score of 24/25, consistent with a large industrial brownfield parcel. For Chelsea overall, it assigned 21/25, consistent with a constrained urban industrial parcel.</w:t>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A83D28" w:sz="14" w:space="0"/>
              <w:bottom w:val="none" w:color="FFFFFF" w:sz="0" w:space="0"/>
              <w:right w:val="none" w:color="FFFFFF" w:sz="0" w:space="0"/>
            </w:tcBorders>
            <w:shd w:fill="A83D28" w:color="auto" w:val="clear"/>
            <w:tcMar>
              <w:top w:type="dxa" w:w="80"/>
              <w:left w:type="dxa" w:w="0"/>
              <w:bottom w:type="dxa" w:w="80"/>
              <w:right w:type="dxa" w:w="0"/>
            </w:tcMar>
          </w:tcPr>
          <w:p>
            <w:pPr>
              <w:spacing w:after="120" w:before="0" w:line="288" w:lineRule="auto"/>
              <w:jc w:val="left"/>
            </w:pPr>
            <w:r>
              <w:rPr>
                <w:rFonts w:ascii="Calibri" w:cs="Calibri" w:eastAsia="Calibri" w:hAnsi="Calibri"/>
                <w:b w:val="false"/>
                <w:bCs w:val="false"/>
                <w:i w:val="false"/>
                <w:iCs w:val="false"/>
                <w:color w:val="1A1A2E"/>
                <w:sz w:val="4"/>
                <w:szCs w:val="4"/>
              </w:rPr>
              <w:t xml:space="preserve"/>
            </w:r>
          </w:p>
        </w:tc>
        <w:tc>
          <w:tcPr>
            <w:tcW w:type="dxa" w:w="8792"/>
            <w:tcBorders>
              <w:top w:val="single" w:color="0D7C7B" w:sz="1" w:space="0"/>
              <w:left w:val="none" w:color="FFFFFF" w:sz="0" w:space="0"/>
              <w:bottom w:val="single" w:color="0D7C7B" w:sz="1" w:space="0"/>
              <w:right w:val="none" w:color="FFFFFF" w:sz="0" w:space="0"/>
            </w:tcBorders>
            <w:shd w:fill="EAF5F4" w:color="auto" w:val="clear"/>
            <w:tcMar>
              <w:top w:type="dxa" w:w="80"/>
              <w:left w:type="dxa" w:w="200"/>
              <w:bottom w:type="dxa" w:w="80"/>
              <w:right w:type="dxa" w:w="120"/>
            </w:tcMar>
          </w:tcPr>
          <w:p>
            <w:pPr>
              <w:spacing w:after="40" w:before="0" w:line="288" w:lineRule="auto"/>
              <w:jc w:val="left"/>
            </w:pPr>
            <w:r>
              <w:rPr>
                <w:rFonts w:ascii="Calibri" w:cs="Calibri" w:eastAsia="Calibri" w:hAnsi="Calibri"/>
                <w:b/>
                <w:bCs/>
                <w:i w:val="false"/>
                <w:iCs w:val="false"/>
                <w:color w:val="A83D28"/>
                <w:sz w:val="17"/>
                <w:szCs w:val="17"/>
              </w:rPr>
              <w:t xml:space="preserve">CRITICAL DISTINCTION</w:t>
            </w:r>
          </w:p>
          <w:p>
            <w:pPr>
              <w:spacing w:after="120" w:before="0" w:line="292" w:lineRule="auto"/>
              <w:jc w:val="left"/>
            </w:pPr>
            <w:r>
              <w:rPr>
                <w:rFonts w:ascii="Calibri" w:cs="Calibri" w:eastAsia="Calibri" w:hAnsi="Calibri"/>
                <w:b w:val="false"/>
                <w:bCs w:val="false"/>
                <w:i w:val="false"/>
                <w:iCs w:val="false"/>
                <w:color w:val="1A1A2E"/>
                <w:sz w:val="19"/>
                <w:szCs w:val="19"/>
              </w:rPr>
              <w:t xml:space="preserve">The tool in its current form scores municipalities, not individual parcels. The specific capacity figures used in the presentation (200 MW for 231 Beacham Street, 30 MW for 283 Eastern Avenue) were parcel-level estimates applied on top of the tool’s municipal scoring — they were not direct tool outputs.</w:t>
            </w:r>
          </w:p>
        </w:tc>
      </w:tr>
    </w:tbl>
    <w:p>
      <w:pPr>
        <w:spacing w:after="0" w:before="80"/>
      </w:pPr>
      <w:r>
        <w:rPr>
          <w:sz w:val="2"/>
          <w:szCs w:val="2"/>
        </w:rPr>
        <w:t xml:space="preserve"/>
      </w:r>
    </w:p>
    <w:p>
      <w:pPr>
        <w:pBdr>
          <w:bottom w:val="single" w:color="0D7C7B" w:sz="4" w:space="0"/>
        </w:pBdr>
        <w:spacing w:after="80" w:before="240" w:line="288" w:lineRule="auto"/>
      </w:pPr>
      <w:r>
        <w:rPr>
          <w:rFonts w:ascii="Calibri" w:cs="Calibri" w:eastAsia="Calibri" w:hAnsi="Calibri"/>
          <w:b/>
          <w:bCs/>
          <w:i w:val="false"/>
          <w:iCs w:val="false"/>
          <w:color w:val="0D7C7B"/>
          <w:sz w:val="24"/>
          <w:szCs w:val="24"/>
        </w:rPr>
        <w:t xml:space="preserve">231 Beacham Street, Everett — 200 MW / 800 MWh (8hr)</w:t>
      </w:r>
    </w:p>
    <w:p>
      <w:pPr>
        <w:spacing w:after="50" w:before="40" w:line="296" w:lineRule="auto"/>
        <w:jc w:val="left"/>
      </w:pPr>
      <w:r>
        <w:rPr>
          <w:rFonts w:ascii="Calibri" w:cs="Calibri" w:eastAsia="Calibri" w:hAnsi="Calibri"/>
          <w:b w:val="false"/>
          <w:bCs w:val="false"/>
          <w:i w:val="false"/>
          <w:iCs w:val="false"/>
          <w:color w:val="1A1A2E"/>
          <w:sz w:val="20"/>
          <w:szCs w:val="20"/>
        </w:rPr>
        <w:t xml:space="preserve">The following assumptions were applied:</w:t>
      </w:r>
    </w:p>
    <w:p>
      <w:pPr>
        <w:pStyle w:val="ListParagraph"/>
        <w:numPr>
          <w:ilvl w:val="0"/>
          <w:numId w:val="2"/>
        </w:numPr>
        <w:spacing w:after="50" w:before="50" w:line="280" w:lineRule="auto"/>
      </w:pPr>
      <w:r>
        <w:rPr>
          <w:rFonts w:ascii="Calibri" w:cs="Calibri" w:eastAsia="Calibri" w:hAnsi="Calibri"/>
          <w:b w:val="false"/>
          <w:bCs w:val="false"/>
          <w:i w:val="false"/>
          <w:iCs w:val="false"/>
          <w:color w:val="1A1A2E"/>
          <w:sz w:val="20"/>
          <w:szCs w:val="20"/>
        </w:rPr>
        <w:t xml:space="preserve">Assumed approximately 5 acres of net buildable area (estimated for an industrial parcel in the Beacham Street industrial corridor, after applying the 50 ft setback rule confirmed by the tool’s Layer 3 output)</w:t>
      </w:r>
    </w:p>
    <w:p>
      <w:pPr>
        <w:pStyle w:val="ListParagraph"/>
        <w:numPr>
          <w:ilvl w:val="0"/>
          <w:numId w:val="2"/>
        </w:numPr>
        <w:spacing w:after="50" w:before="50" w:line="280" w:lineRule="auto"/>
      </w:pPr>
      <w:r>
        <w:rPr>
          <w:rFonts w:ascii="Calibri" w:cs="Calibri" w:eastAsia="Calibri" w:hAnsi="Calibri"/>
          <w:b w:val="false"/>
          <w:bCs w:val="false"/>
          <w:i w:val="false"/>
          <w:iCs w:val="false"/>
          <w:color w:val="1A1A2E"/>
          <w:sz w:val="20"/>
          <w:szCs w:val="20"/>
        </w:rPr>
        <w:t xml:space="preserve">Applied a typical containerized BESS power density of approximately 40 MW per acre for utility-scale LFP systems</w:t>
      </w:r>
    </w:p>
    <w:p>
      <w:pPr>
        <w:pStyle w:val="ListParagraph"/>
        <w:numPr>
          <w:ilvl w:val="0"/>
          <w:numId w:val="2"/>
        </w:numPr>
        <w:spacing w:after="50" w:before="50" w:line="280" w:lineRule="auto"/>
      </w:pPr>
      <w:r>
        <w:rPr>
          <w:rFonts w:ascii="Calibri" w:cs="Calibri" w:eastAsia="Calibri" w:hAnsi="Calibri"/>
          <w:b w:val="false"/>
          <w:bCs w:val="false"/>
          <w:i w:val="false"/>
          <w:iCs w:val="false"/>
          <w:color w:val="1A1A2E"/>
          <w:sz w:val="20"/>
          <w:szCs w:val="20"/>
        </w:rPr>
        <w:t xml:space="preserve">5 acres × 40 MW/acre = 200 MW modeled capacity</w:t>
      </w:r>
    </w:p>
    <w:p>
      <w:pPr>
        <w:pStyle w:val="ListParagraph"/>
        <w:numPr>
          <w:ilvl w:val="0"/>
          <w:numId w:val="2"/>
        </w:numPr>
        <w:spacing w:after="50" w:before="50" w:line="280" w:lineRule="auto"/>
      </w:pPr>
      <w:r>
        <w:rPr>
          <w:rFonts w:ascii="Calibri" w:cs="Calibri" w:eastAsia="Calibri" w:hAnsi="Calibri"/>
          <w:b w:val="false"/>
          <w:bCs w:val="false"/>
          <w:i w:val="false"/>
          <w:iCs w:val="false"/>
          <w:color w:val="1A1A2E"/>
          <w:sz w:val="20"/>
          <w:szCs w:val="20"/>
        </w:rPr>
        <w:t xml:space="preserve">Duration (8hr): Selected by the tool’s Layer 5 revenue optimization — 8hr maximizes FCM capacity payments and 83E long-duration contract eligibility in the SENE zone</w:t>
      </w:r>
    </w:p>
    <w:p>
      <w:pPr>
        <w:spacing w:after="0" w:before="60"/>
      </w:pPr>
      <w:r>
        <w:rPr>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C68A17" w:sz="14" w:space="0"/>
              <w:bottom w:val="none" w:color="FFFFFF" w:sz="0" w:space="0"/>
              <w:right w:val="none" w:color="FFFFFF" w:sz="0" w:space="0"/>
            </w:tcBorders>
            <w:shd w:fill="C68A17" w:color="auto" w:val="clear"/>
            <w:tcMar>
              <w:top w:type="dxa" w:w="80"/>
              <w:left w:type="dxa" w:w="0"/>
              <w:bottom w:type="dxa" w:w="80"/>
              <w:right w:type="dxa" w:w="0"/>
            </w:tcMar>
          </w:tcPr>
          <w:p>
            <w:pPr>
              <w:spacing w:after="120" w:before="0" w:line="288" w:lineRule="auto"/>
              <w:jc w:val="left"/>
            </w:pPr>
            <w:r>
              <w:rPr>
                <w:rFonts w:ascii="Calibri" w:cs="Calibri" w:eastAsia="Calibri" w:hAnsi="Calibri"/>
                <w:b w:val="false"/>
                <w:bCs w:val="false"/>
                <w:i w:val="false"/>
                <w:iCs w:val="false"/>
                <w:color w:val="1A1A2E"/>
                <w:sz w:val="4"/>
                <w:szCs w:val="4"/>
              </w:rPr>
              <w:t xml:space="preserve"/>
            </w:r>
          </w:p>
        </w:tc>
        <w:tc>
          <w:tcPr>
            <w:tcW w:type="dxa" w:w="8792"/>
            <w:tcBorders>
              <w:top w:val="single" w:color="0D7C7B" w:sz="1" w:space="0"/>
              <w:left w:val="none" w:color="FFFFFF" w:sz="0" w:space="0"/>
              <w:bottom w:val="single" w:color="0D7C7B" w:sz="1" w:space="0"/>
              <w:right w:val="none" w:color="FFFFFF" w:sz="0" w:space="0"/>
            </w:tcBorders>
            <w:shd w:fill="EAF5F4" w:color="auto" w:val="clear"/>
            <w:tcMar>
              <w:top w:type="dxa" w:w="80"/>
              <w:left w:type="dxa" w:w="200"/>
              <w:bottom w:type="dxa" w:w="80"/>
              <w:right w:type="dxa" w:w="120"/>
            </w:tcMar>
          </w:tcPr>
          <w:p>
            <w:pPr>
              <w:spacing w:after="40" w:before="0" w:line="288" w:lineRule="auto"/>
              <w:jc w:val="left"/>
            </w:pPr>
            <w:r>
              <w:rPr>
                <w:rFonts w:ascii="Calibri" w:cs="Calibri" w:eastAsia="Calibri" w:hAnsi="Calibri"/>
                <w:b/>
                <w:bCs/>
                <w:i w:val="false"/>
                <w:iCs w:val="false"/>
                <w:color w:val="C68A17"/>
                <w:sz w:val="17"/>
                <w:szCs w:val="17"/>
              </w:rPr>
              <w:t xml:space="preserve">VERIFICATION NOTE</w:t>
            </w:r>
          </w:p>
          <w:p>
            <w:pPr>
              <w:spacing w:after="120" w:before="0" w:line="292" w:lineRule="auto"/>
              <w:jc w:val="left"/>
            </w:pPr>
            <w:r>
              <w:rPr>
                <w:rFonts w:ascii="Calibri" w:cs="Calibri" w:eastAsia="Calibri" w:hAnsi="Calibri"/>
                <w:b w:val="false"/>
                <w:bCs w:val="false"/>
                <w:i w:val="false"/>
                <w:iCs w:val="false"/>
                <w:color w:val="1A1A2E"/>
                <w:sz w:val="19"/>
                <w:szCs w:val="19"/>
              </w:rPr>
              <w:t xml:space="preserve">The actual parcel size at 231 Beacham Street was not independently verified through GIS analysis or county parcel records. The ~5 acre estimate is a reasonable approximation for the industrial corridor, but it has not been confirmed by parcel-level data.</w:t>
            </w:r>
          </w:p>
        </w:tc>
      </w:tr>
    </w:tbl>
    <w:p>
      <w:pPr>
        <w:spacing w:after="0" w:before="80"/>
      </w:pPr>
      <w:r>
        <w:rPr>
          <w:sz w:val="2"/>
          <w:szCs w:val="2"/>
        </w:rPr>
        <w:t xml:space="preserve"/>
      </w:r>
    </w:p>
    <w:p>
      <w:pPr>
        <w:pBdr>
          <w:bottom w:val="single" w:color="A83D28" w:sz="4" w:space="0"/>
        </w:pBdr>
        <w:spacing w:after="80" w:before="240" w:line="288" w:lineRule="auto"/>
      </w:pPr>
      <w:r>
        <w:rPr>
          <w:rFonts w:ascii="Calibri" w:cs="Calibri" w:eastAsia="Calibri" w:hAnsi="Calibri"/>
          <w:b/>
          <w:bCs/>
          <w:i w:val="false"/>
          <w:iCs w:val="false"/>
          <w:color w:val="A83D28"/>
          <w:sz w:val="24"/>
          <w:szCs w:val="24"/>
        </w:rPr>
        <w:t xml:space="preserve">283 Eastern Avenue, Chelsea — 30 MW / 120 MWh (4hr)</w:t>
      </w:r>
    </w:p>
    <w:p>
      <w:pPr>
        <w:spacing w:after="50" w:before="40" w:line="296" w:lineRule="auto"/>
        <w:jc w:val="left"/>
      </w:pPr>
      <w:r>
        <w:rPr>
          <w:rFonts w:ascii="Calibri" w:cs="Calibri" w:eastAsia="Calibri" w:hAnsi="Calibri"/>
          <w:b w:val="false"/>
          <w:bCs w:val="false"/>
          <w:i w:val="false"/>
          <w:iCs w:val="false"/>
          <w:color w:val="1A1A2E"/>
          <w:sz w:val="20"/>
          <w:szCs w:val="20"/>
        </w:rPr>
        <w:t xml:space="preserve">The following assumptions were applied:</w:t>
      </w:r>
    </w:p>
    <w:p>
      <w:pPr>
        <w:pStyle w:val="ListParagraph"/>
        <w:numPr>
          <w:ilvl w:val="0"/>
          <w:numId w:val="2"/>
        </w:numPr>
        <w:spacing w:after="50" w:before="50" w:line="280" w:lineRule="auto"/>
      </w:pPr>
      <w:r>
        <w:rPr>
          <w:rFonts w:ascii="Calibri" w:cs="Calibri" w:eastAsia="Calibri" w:hAnsi="Calibri"/>
          <w:b w:val="false"/>
          <w:bCs w:val="false"/>
          <w:i w:val="false"/>
          <w:iCs w:val="false"/>
          <w:color w:val="1A1A2E"/>
          <w:sz w:val="20"/>
          <w:szCs w:val="20"/>
        </w:rPr>
        <w:t xml:space="preserve">Assumed approximately 3 acres of net buildable area for an urban I-1/I-2 industrial parcel in the Eastern Avenue corridor, after the 50 ft setback rule (confirmed by Layer 3)</w:t>
      </w:r>
    </w:p>
    <w:p>
      <w:pPr>
        <w:pStyle w:val="ListParagraph"/>
        <w:numPr>
          <w:ilvl w:val="0"/>
          <w:numId w:val="2"/>
        </w:numPr>
        <w:spacing w:after="50" w:before="50" w:line="280" w:lineRule="auto"/>
      </w:pPr>
      <w:r>
        <w:rPr>
          <w:rFonts w:ascii="Calibri" w:cs="Calibri" w:eastAsia="Calibri" w:hAnsi="Calibri"/>
          <w:b w:val="false"/>
          <w:bCs w:val="false"/>
          <w:i w:val="false"/>
          <w:iCs w:val="false"/>
          <w:color w:val="1A1A2E"/>
          <w:sz w:val="20"/>
          <w:szCs w:val="20"/>
        </w:rPr>
        <w:t xml:space="preserve">Applied a reduced urban density factor of approximately 10 MW per acre (vs. 40 MW/acre for Everett) to account for urban site access constraints and building clearance requirements</w:t>
      </w:r>
    </w:p>
    <w:p>
      <w:pPr>
        <w:pStyle w:val="ListParagraph"/>
        <w:numPr>
          <w:ilvl w:val="0"/>
          <w:numId w:val="2"/>
        </w:numPr>
        <w:spacing w:after="50" w:before="50" w:line="280" w:lineRule="auto"/>
      </w:pPr>
      <w:r>
        <w:rPr>
          <w:rFonts w:ascii="Calibri" w:cs="Calibri" w:eastAsia="Calibri" w:hAnsi="Calibri"/>
          <w:b w:val="false"/>
          <w:bCs w:val="false"/>
          <w:i w:val="false"/>
          <w:iCs w:val="false"/>
          <w:color w:val="1A1A2E"/>
          <w:sz w:val="20"/>
          <w:szCs w:val="20"/>
        </w:rPr>
        <w:t xml:space="preserve">~3 acres × 10 MW/acre = 30 MW modeled capacity</w:t>
      </w:r>
    </w:p>
    <w:p>
      <w:pPr>
        <w:pStyle w:val="ListParagraph"/>
        <w:numPr>
          <w:ilvl w:val="0"/>
          <w:numId w:val="2"/>
        </w:numPr>
        <w:spacing w:after="50" w:before="50" w:line="280" w:lineRule="auto"/>
      </w:pPr>
      <w:r>
        <w:rPr>
          <w:rFonts w:ascii="Calibri" w:cs="Calibri" w:eastAsia="Calibri" w:hAnsi="Calibri"/>
          <w:b w:val="false"/>
          <w:bCs w:val="false"/>
          <w:i w:val="false"/>
          <w:iCs w:val="false"/>
          <w:color w:val="1A1A2E"/>
          <w:sz w:val="20"/>
          <w:szCs w:val="20"/>
        </w:rPr>
        <w:t xml:space="preserve">Duration (4hr): Tool’s Layer 5 revenue optimization for the SENE zone at this scale — 4hr maximizes CPS multiplier eligibility and SMART adder qualification</w:t>
      </w:r>
    </w:p>
    <w:p>
      <w:pPr>
        <w:spacing w:after="0" w:before="60"/>
      </w:pPr>
      <w:r>
        <w:rPr>
          <w:sz w:val="2"/>
          <w:szCs w:val="2"/>
        </w:rPr>
        <w:t xml:space="preserve"/>
      </w:r>
    </w:p>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280"/>
        <w:gridCol w:w="8792"/>
      </w:tblGrid>
      <w:tr>
        <w:tc>
          <w:tcPr>
            <w:tcW w:type="dxa" w:w="280"/>
            <w:tcBorders>
              <w:top w:val="none" w:color="FFFFFF" w:sz="0" w:space="0"/>
              <w:left w:val="single" w:color="C68A17" w:sz="14" w:space="0"/>
              <w:bottom w:val="none" w:color="FFFFFF" w:sz="0" w:space="0"/>
              <w:right w:val="none" w:color="FFFFFF" w:sz="0" w:space="0"/>
            </w:tcBorders>
            <w:shd w:fill="C68A17" w:color="auto" w:val="clear"/>
            <w:tcMar>
              <w:top w:type="dxa" w:w="80"/>
              <w:left w:type="dxa" w:w="0"/>
              <w:bottom w:type="dxa" w:w="80"/>
              <w:right w:type="dxa" w:w="0"/>
            </w:tcMar>
          </w:tcPr>
          <w:p>
            <w:pPr>
              <w:spacing w:after="120" w:before="0" w:line="288" w:lineRule="auto"/>
              <w:jc w:val="left"/>
            </w:pPr>
            <w:r>
              <w:rPr>
                <w:rFonts w:ascii="Calibri" w:cs="Calibri" w:eastAsia="Calibri" w:hAnsi="Calibri"/>
                <w:b w:val="false"/>
                <w:bCs w:val="false"/>
                <w:i w:val="false"/>
                <w:iCs w:val="false"/>
                <w:color w:val="1A1A2E"/>
                <w:sz w:val="4"/>
                <w:szCs w:val="4"/>
              </w:rPr>
              <w:t xml:space="preserve"/>
            </w:r>
          </w:p>
        </w:tc>
        <w:tc>
          <w:tcPr>
            <w:tcW w:type="dxa" w:w="8792"/>
            <w:tcBorders>
              <w:top w:val="single" w:color="0D7C7B" w:sz="1" w:space="0"/>
              <w:left w:val="none" w:color="FFFFFF" w:sz="0" w:space="0"/>
              <w:bottom w:val="single" w:color="0D7C7B" w:sz="1" w:space="0"/>
              <w:right w:val="none" w:color="FFFFFF" w:sz="0" w:space="0"/>
            </w:tcBorders>
            <w:shd w:fill="EAF5F4" w:color="auto" w:val="clear"/>
            <w:tcMar>
              <w:top w:type="dxa" w:w="80"/>
              <w:left w:type="dxa" w:w="200"/>
              <w:bottom w:type="dxa" w:w="80"/>
              <w:right w:type="dxa" w:w="120"/>
            </w:tcMar>
          </w:tcPr>
          <w:p>
            <w:pPr>
              <w:spacing w:after="40" w:before="0" w:line="288" w:lineRule="auto"/>
              <w:jc w:val="left"/>
            </w:pPr>
            <w:r>
              <w:rPr>
                <w:rFonts w:ascii="Calibri" w:cs="Calibri" w:eastAsia="Calibri" w:hAnsi="Calibri"/>
                <w:b/>
                <w:bCs/>
                <w:i w:val="false"/>
                <w:iCs w:val="false"/>
                <w:color w:val="C68A17"/>
                <w:sz w:val="17"/>
                <w:szCs w:val="17"/>
              </w:rPr>
              <w:t xml:space="preserve">VERIFICATION NOTE</w:t>
            </w:r>
          </w:p>
          <w:p>
            <w:pPr>
              <w:spacing w:after="120" w:before="0" w:line="292" w:lineRule="auto"/>
              <w:jc w:val="left"/>
            </w:pPr>
            <w:r>
              <w:rPr>
                <w:rFonts w:ascii="Calibri" w:cs="Calibri" w:eastAsia="Calibri" w:hAnsi="Calibri"/>
                <w:b w:val="false"/>
                <w:bCs w:val="false"/>
                <w:i w:val="false"/>
                <w:iCs w:val="false"/>
                <w:color w:val="1A1A2E"/>
                <w:sz w:val="19"/>
                <w:szCs w:val="19"/>
              </w:rPr>
              <w:t xml:space="preserve">The actual parcel dimensions at 283 Eastern Avenue were also not independently verified through GIS analysis or parcel records. The ~3 acre estimate is based on the Eastern Avenue industrial corridor profile, not confirmed site data.</w:t>
            </w:r>
          </w:p>
        </w:tc>
      </w:tr>
    </w:tbl>
    <w:p>
      <w:pPr>
        <w:spacing w:after="0" w:before="100"/>
      </w:pPr>
      <w:r>
        <w:rPr>
          <w:sz w:val="2"/>
          <w:szCs w:val="2"/>
        </w:rPr>
        <w:t xml:space="preserve"/>
      </w:r>
    </w:p>
    <w:p>
      <w:pPr>
        <w:pBdr>
          <w:top w:val="single" w:color="0E2040" w:sz="2" w:space="0"/>
          <w:bottom w:val="single" w:color="0E2040" w:sz="8" w:space="0"/>
        </w:pBdr>
        <w:shd w:fill="E8EDF3" w:color="auto" w:val="clear"/>
        <w:spacing w:after="120" w:before="320" w:line="288" w:lineRule="auto"/>
      </w:pPr>
      <w:r>
        <w:rPr>
          <w:rFonts w:ascii="Calibri" w:cs="Calibri" w:eastAsia="Calibri" w:hAnsi="Calibri"/>
          <w:b/>
          <w:bCs/>
          <w:i w:val="false"/>
          <w:iCs w:val="false"/>
          <w:color w:val="0E2040"/>
          <w:sz w:val="28"/>
          <w:szCs w:val="28"/>
        </w:rPr>
        <w:t xml:space="preserve">3.  What the Tool Produced vs. What Was Added Externally</w:t>
      </w:r>
    </w:p>
    <w:p>
      <w:pPr>
        <w:spacing w:after="80" w:before="40" w:line="296" w:lineRule="auto"/>
        <w:jc w:val="left"/>
      </w:pPr>
      <w:r>
        <w:rPr>
          <w:rFonts w:ascii="Calibri" w:cs="Calibri" w:eastAsia="Calibri" w:hAnsi="Calibri"/>
          <w:b w:val="false"/>
          <w:bCs w:val="false"/>
          <w:i w:val="false"/>
          <w:iCs w:val="false"/>
          <w:color w:val="1A1A2E"/>
          <w:sz w:val="20"/>
          <w:szCs w:val="20"/>
        </w:rPr>
        <w:t xml:space="preserve">The following table provides a precise, line-by-line accounting of which outputs in the presentation came directly from the BESS siting tool and which were calculated or estimated externally.</w:t>
      </w:r>
    </w:p>
    <w:tbl>
      <w:tblPr>
        <w:tblW w:type="dxa" w:w="9072"/>
        <w:tblBorders>
          <w:top w:val="single" w:color="CCCCCC" w:sz="1" w:space="0"/>
          <w:left w:val="single" w:color="CCCCCC" w:sz="1" w:space="0"/>
          <w:bottom w:val="single" w:color="CCCCCC" w:sz="1" w:space="0"/>
          <w:right w:val="single" w:color="CCCCCC" w:sz="1" w:space="0"/>
          <w:insideH w:val="single" w:color="auto" w:sz="4"/>
          <w:insideV w:val="single" w:color="auto" w:sz="4"/>
        </w:tblBorders>
      </w:tblPr>
      <w:tblGrid>
        <w:gridCol w:w="3200"/>
        <w:gridCol w:w="1900"/>
        <w:gridCol w:w="3972"/>
      </w:tblGrid>
      <w:tr>
        <w:trPr>
          <w:tblHeader/>
        </w:trPr>
        <w:tc>
          <w:tcPr>
            <w:tcW w:type="dxa" w:w="320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vAlign w:val="center"/>
          </w:tcPr>
          <w:p>
            <w:pPr>
              <w:spacing w:after="120" w:before="0" w:line="288" w:lineRule="auto"/>
              <w:jc w:val="center"/>
            </w:pPr>
            <w:r>
              <w:rPr>
                <w:rFonts w:ascii="Calibri" w:cs="Calibri" w:eastAsia="Calibri" w:hAnsi="Calibri"/>
                <w:b/>
                <w:bCs/>
                <w:i w:val="false"/>
                <w:iCs w:val="false"/>
                <w:color w:val="FFFFFF"/>
                <w:sz w:val="18"/>
                <w:szCs w:val="18"/>
              </w:rPr>
              <w:t xml:space="preserve">Output / Data Point</w:t>
            </w:r>
          </w:p>
        </w:tc>
        <w:tc>
          <w:tcPr>
            <w:tcW w:type="dxa" w:w="190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vAlign w:val="center"/>
          </w:tcPr>
          <w:p>
            <w:pPr>
              <w:spacing w:after="120" w:before="0" w:line="288" w:lineRule="auto"/>
              <w:jc w:val="center"/>
            </w:pPr>
            <w:r>
              <w:rPr>
                <w:rFonts w:ascii="Calibri" w:cs="Calibri" w:eastAsia="Calibri" w:hAnsi="Calibri"/>
                <w:b/>
                <w:bCs/>
                <w:i w:val="false"/>
                <w:iCs w:val="false"/>
                <w:color w:val="FFFFFF"/>
                <w:sz w:val="18"/>
                <w:szCs w:val="18"/>
              </w:rPr>
              <w:t xml:space="preserve">From the BESS Tool?</w:t>
            </w:r>
          </w:p>
        </w:tc>
        <w:tc>
          <w:tcPr>
            <w:tcW w:type="dxa" w:w="3972"/>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vAlign w:val="center"/>
          </w:tcPr>
          <w:p>
            <w:pPr>
              <w:spacing w:after="120" w:before="0" w:line="288" w:lineRule="auto"/>
              <w:jc w:val="center"/>
            </w:pPr>
            <w:r>
              <w:rPr>
                <w:rFonts w:ascii="Calibri" w:cs="Calibri" w:eastAsia="Calibri" w:hAnsi="Calibri"/>
                <w:b/>
                <w:bCs/>
                <w:i w:val="false"/>
                <w:iCs w:val="false"/>
                <w:color w:val="FFFFFF"/>
                <w:sz w:val="18"/>
                <w:szCs w:val="18"/>
              </w:rPr>
              <w:t xml:space="preserve">Source</w:t>
            </w:r>
          </w:p>
        </w:tc>
      </w:tr>
      <w:tr>
        <w:tc>
          <w:tcPr>
            <w:tcW w:type="dxa" w:w="32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bCs/>
                <w:i w:val="false"/>
                <w:iCs w:val="false"/>
                <w:color w:val="1A1A2E"/>
                <w:sz w:val="19"/>
                <w:szCs w:val="19"/>
              </w:rPr>
              <w:t xml:space="preserve">Municipality composite score (119/125, 113/125)</w:t>
            </w:r>
          </w:p>
        </w:tc>
        <w:tc>
          <w:tcPr>
            <w:tcW w:type="dxa" w:w="19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bCs/>
                <w:i w:val="false"/>
                <w:iCs w:val="false"/>
                <w:color w:val="2A6145"/>
                <w:sz w:val="19"/>
                <w:szCs w:val="19"/>
              </w:rPr>
              <w:t xml:space="preserve">YES — Direct Tool Output</w:t>
            </w:r>
          </w:p>
        </w:tc>
        <w:tc>
          <w:tcPr>
            <w:tcW w:type="dxa" w:w="39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Five-layer MCE scoring across all 13 municipalities</w:t>
            </w:r>
          </w:p>
        </w:tc>
      </w:tr>
      <w:tr>
        <w:tc>
          <w:tcPr>
            <w:tcW w:type="dxa" w:w="32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EJ designation status, CIA severity rating</w:t>
            </w:r>
          </w:p>
        </w:tc>
        <w:tc>
          <w:tcPr>
            <w:tcW w:type="dxa" w:w="19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bCs/>
                <w:i w:val="false"/>
                <w:iCs w:val="false"/>
                <w:color w:val="2A6145"/>
                <w:sz w:val="19"/>
                <w:szCs w:val="19"/>
              </w:rPr>
              <w:t xml:space="preserve">YES — Direct Tool Output</w:t>
            </w:r>
          </w:p>
        </w:tc>
        <w:tc>
          <w:tcPr>
            <w:tcW w:type="dxa" w:w="39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Layer 1: MassGIS OEJE 2020 EJ Population Layer + CIA 33-indicator framework</w:t>
            </w:r>
          </w:p>
        </w:tc>
      </w:tr>
      <w:tr>
        <w:tc>
          <w:tcPr>
            <w:tcW w:type="dxa" w:w="32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Hosting capacity rating (Very High, High)</w:t>
            </w:r>
          </w:p>
        </w:tc>
        <w:tc>
          <w:tcPr>
            <w:tcW w:type="dxa" w:w="19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bCs/>
                <w:i w:val="false"/>
                <w:iCs w:val="false"/>
                <w:color w:val="2A6145"/>
                <w:sz w:val="19"/>
                <w:szCs w:val="19"/>
              </w:rPr>
              <w:t xml:space="preserve">YES — Direct Tool Output</w:t>
            </w:r>
          </w:p>
        </w:tc>
        <w:tc>
          <w:tcPr>
            <w:tcW w:type="dxa" w:w="39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Layer 2: Eversource Hosting Capacity Map / National Grid SDP</w:t>
            </w:r>
          </w:p>
        </w:tc>
      </w:tr>
      <w:tr>
        <w:tc>
          <w:tcPr>
            <w:tcW w:type="dxa" w:w="32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Interconnection risk level (Very Low, Low)</w:t>
            </w:r>
          </w:p>
        </w:tc>
        <w:tc>
          <w:tcPr>
            <w:tcW w:type="dxa" w:w="19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bCs/>
                <w:i w:val="false"/>
                <w:iCs w:val="false"/>
                <w:color w:val="2A6145"/>
                <w:sz w:val="19"/>
                <w:szCs w:val="19"/>
              </w:rPr>
              <w:t xml:space="preserve">YES — Direct Tool Output</w:t>
            </w:r>
          </w:p>
        </w:tc>
        <w:tc>
          <w:tcPr>
            <w:tcW w:type="dxa" w:w="39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Layer 2: Substation proximity + circuit headroom analysis</w:t>
            </w:r>
          </w:p>
        </w:tc>
      </w:tr>
      <w:tr>
        <w:tc>
          <w:tcPr>
            <w:tcW w:type="dxa" w:w="32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Zoning class, setback distance, permitting path</w:t>
            </w:r>
          </w:p>
        </w:tc>
        <w:tc>
          <w:tcPr>
            <w:tcW w:type="dxa" w:w="19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bCs/>
                <w:i w:val="false"/>
                <w:iCs w:val="false"/>
                <w:color w:val="2A6145"/>
                <w:sz w:val="19"/>
                <w:szCs w:val="19"/>
              </w:rPr>
              <w:t xml:space="preserve">YES — Direct Tool Output</w:t>
            </w:r>
          </w:p>
        </w:tc>
        <w:tc>
          <w:tcPr>
            <w:tcW w:type="dxa" w:w="39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Layer 3: DOER Model Bylaw tiers + municipal zoning codes</w:t>
            </w:r>
          </w:p>
        </w:tc>
      </w:tr>
      <w:tr>
        <w:tc>
          <w:tcPr>
            <w:tcW w:type="dxa" w:w="32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Physical feasibility score (24/25, 21/25)</w:t>
            </w:r>
          </w:p>
        </w:tc>
        <w:tc>
          <w:tcPr>
            <w:tcW w:type="dxa" w:w="19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bCs/>
                <w:i w:val="false"/>
                <w:iCs w:val="false"/>
                <w:color w:val="2A6145"/>
                <w:sz w:val="19"/>
                <w:szCs w:val="19"/>
              </w:rPr>
              <w:t xml:space="preserve">YES — Direct Tool Output</w:t>
            </w:r>
          </w:p>
        </w:tc>
        <w:tc>
          <w:tcPr>
            <w:tcW w:type="dxa" w:w="39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Layer 4: Parcel-level brownfield/industrial site assessment</w:t>
            </w:r>
          </w:p>
        </w:tc>
      </w:tr>
      <w:tr>
        <w:tc>
          <w:tcPr>
            <w:tcW w:type="dxa" w:w="32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Max feasible MW range (municipal level)</w:t>
            </w:r>
          </w:p>
        </w:tc>
        <w:tc>
          <w:tcPr>
            <w:tcW w:type="dxa" w:w="19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bCs/>
                <w:i w:val="false"/>
                <w:iCs w:val="false"/>
                <w:color w:val="C68A17"/>
                <w:sz w:val="19"/>
                <w:szCs w:val="19"/>
              </w:rPr>
              <w:t xml:space="preserve">PARTIAL — Tool produces a range</w:t>
            </w:r>
          </w:p>
        </w:tc>
        <w:tc>
          <w:tcPr>
            <w:tcW w:type="dxa" w:w="39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Layer 4 outputs a range; specific parcel-scale figures were estimated externally</w:t>
            </w:r>
          </w:p>
        </w:tc>
      </w:tr>
      <w:tr>
        <w:tc>
          <w:tcPr>
            <w:tcW w:type="dxa" w:w="32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Optimal duration (8hr for Everett, 4hr for Chelsea)</w:t>
            </w:r>
          </w:p>
        </w:tc>
        <w:tc>
          <w:tcPr>
            <w:tcW w:type="dxa" w:w="19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bCs/>
                <w:i w:val="false"/>
                <w:iCs w:val="false"/>
                <w:color w:val="2A6145"/>
                <w:sz w:val="19"/>
                <w:szCs w:val="19"/>
              </w:rPr>
              <w:t xml:space="preserve">YES — Direct Tool Output</w:t>
            </w:r>
          </w:p>
        </w:tc>
        <w:tc>
          <w:tcPr>
            <w:tcW w:type="dxa" w:w="39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Layer 5: Revenue optimization across FCM, CPS, SMART, and arbitrage for SENE zone</w:t>
            </w:r>
          </w:p>
        </w:tc>
      </w:tr>
      <w:tr>
        <w:tc>
          <w:tcPr>
            <w:tcW w:type="dxa" w:w="32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Revenue score and $/kW-yr range ($90–$170+)</w:t>
            </w:r>
          </w:p>
        </w:tc>
        <w:tc>
          <w:tcPr>
            <w:tcW w:type="dxa" w:w="19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bCs/>
                <w:i w:val="false"/>
                <w:iCs w:val="false"/>
                <w:color w:val="2A6145"/>
                <w:sz w:val="19"/>
                <w:szCs w:val="19"/>
              </w:rPr>
              <w:t xml:space="preserve">YES — Direct Tool Output</w:t>
            </w:r>
          </w:p>
        </w:tc>
        <w:tc>
          <w:tcPr>
            <w:tcW w:type="dxa" w:w="39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Layer 5: ISO-NE NEMA/SENE LMP, FCA clearing prices, CPS ACP schedule, SMART adder</w:t>
            </w:r>
          </w:p>
        </w:tc>
      </w:tr>
      <w:tr>
        <w:tc>
          <w:tcPr>
            <w:tcW w:type="dxa" w:w="32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ITC bonus tier eligibility flags</w:t>
            </w:r>
          </w:p>
        </w:tc>
        <w:tc>
          <w:tcPr>
            <w:tcW w:type="dxa" w:w="19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bCs/>
                <w:i w:val="false"/>
                <w:iCs w:val="false"/>
                <w:color w:val="2A6145"/>
                <w:sz w:val="19"/>
                <w:szCs w:val="19"/>
              </w:rPr>
              <w:t xml:space="preserve">YES — Direct Tool Output</w:t>
            </w:r>
          </w:p>
        </w:tc>
        <w:tc>
          <w:tcPr>
            <w:tcW w:type="dxa" w:w="39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Layers 1 + 4 combined: EJ census tract status + brownfield/industrial designation</w:t>
            </w:r>
          </w:p>
        </w:tc>
      </w:tr>
      <w:tr>
        <w:tc>
          <w:tcPr>
            <w:tcW w:type="dxa" w:w="32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bCs/>
                <w:i w:val="false"/>
                <w:iCs w:val="false"/>
                <w:color w:val="1A1A2E"/>
                <w:sz w:val="19"/>
                <w:szCs w:val="19"/>
              </w:rPr>
              <w:t xml:space="preserve">Specific MW/MWh capacity (200 MW, 30 MW)</w:t>
            </w:r>
          </w:p>
        </w:tc>
        <w:tc>
          <w:tcPr>
            <w:tcW w:type="dxa" w:w="19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bCs/>
                <w:i w:val="false"/>
                <w:iCs w:val="false"/>
                <w:color w:val="A83D28"/>
                <w:sz w:val="19"/>
                <w:szCs w:val="19"/>
              </w:rPr>
              <w:t xml:space="preserve">NO — External Estimate</w:t>
            </w:r>
          </w:p>
        </w:tc>
        <w:tc>
          <w:tcPr>
            <w:tcW w:type="dxa" w:w="39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Assumed parcel acreage × power density factor (not GIS-confirmed)</w:t>
            </w:r>
          </w:p>
        </w:tc>
      </w:tr>
      <w:tr>
        <w:tc>
          <w:tcPr>
            <w:tcW w:type="dxa" w:w="32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bCs/>
                <w:i w:val="false"/>
                <w:iCs w:val="false"/>
                <w:color w:val="1A1A2E"/>
                <w:sz w:val="19"/>
                <w:szCs w:val="19"/>
              </w:rPr>
              <w:t xml:space="preserve">Gross CAPEX ($267M, $40M)</w:t>
            </w:r>
          </w:p>
        </w:tc>
        <w:tc>
          <w:tcPr>
            <w:tcW w:type="dxa" w:w="19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bCs/>
                <w:i w:val="false"/>
                <w:iCs w:val="false"/>
                <w:color w:val="A83D28"/>
                <w:sz w:val="19"/>
                <w:szCs w:val="19"/>
              </w:rPr>
              <w:t xml:space="preserve">NO — External Calculation</w:t>
            </w:r>
          </w:p>
        </w:tc>
        <w:tc>
          <w:tcPr>
            <w:tcW w:type="dxa" w:w="39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NREL 2024 $334/kWh × modeled MWh capacity</w:t>
            </w:r>
          </w:p>
        </w:tc>
      </w:tr>
      <w:tr>
        <w:tc>
          <w:tcPr>
            <w:tcW w:type="dxa" w:w="32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bCs/>
                <w:i w:val="false"/>
                <w:iCs w:val="false"/>
                <w:color w:val="1A1A2E"/>
                <w:sz w:val="19"/>
                <w:szCs w:val="19"/>
              </w:rPr>
              <w:t xml:space="preserve">Net CAPEX (at 30% and 50% ITC)</w:t>
            </w:r>
          </w:p>
        </w:tc>
        <w:tc>
          <w:tcPr>
            <w:tcW w:type="dxa" w:w="19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bCs/>
                <w:i w:val="false"/>
                <w:iCs w:val="false"/>
                <w:color w:val="A83D28"/>
                <w:sz w:val="19"/>
                <w:szCs w:val="19"/>
              </w:rPr>
              <w:t xml:space="preserve">NO — External Calculation</w:t>
            </w:r>
          </w:p>
        </w:tc>
        <w:tc>
          <w:tcPr>
            <w:tcW w:type="dxa" w:w="39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Gross CAPEX × (1 − ITC%) using tool-confirmed ITC eligibility flags</w:t>
            </w:r>
          </w:p>
        </w:tc>
      </w:tr>
      <w:tr>
        <w:tc>
          <w:tcPr>
            <w:tcW w:type="dxa" w:w="32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bCs/>
                <w:i w:val="false"/>
                <w:iCs w:val="false"/>
                <w:color w:val="1A1A2E"/>
                <w:sz w:val="19"/>
                <w:szCs w:val="19"/>
              </w:rPr>
              <w:t xml:space="preserve">NPV and IRR</w:t>
            </w:r>
          </w:p>
        </w:tc>
        <w:tc>
          <w:tcPr>
            <w:tcW w:type="dxa" w:w="19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bCs/>
                <w:i w:val="false"/>
                <w:iCs w:val="false"/>
                <w:color w:val="A83D28"/>
                <w:sz w:val="19"/>
                <w:szCs w:val="19"/>
              </w:rPr>
              <w:t xml:space="preserve">NO — External Financial Model</w:t>
            </w:r>
          </w:p>
        </w:tc>
        <w:tc>
          <w:tcPr>
            <w:tcW w:type="dxa" w:w="39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20-year DCF model built externally using tool outputs as inputs; 8% WACC; NREL O&amp;M rates</w:t>
            </w:r>
          </w:p>
        </w:tc>
      </w:tr>
    </w:tbl>
    <w:p>
      <w:pPr>
        <w:spacing w:after="0" w:before="100"/>
      </w:pPr>
      <w:r>
        <w:rPr>
          <w:sz w:val="2"/>
          <w:szCs w:val="2"/>
        </w:rPr>
        <w:t xml:space="preserve"/>
      </w:r>
    </w:p>
    <w:p>
      <w:pPr>
        <w:pBdr>
          <w:top w:val="single" w:color="0E2040" w:sz="2" w:space="0"/>
          <w:bottom w:val="single" w:color="0E2040" w:sz="8" w:space="0"/>
        </w:pBdr>
        <w:shd w:fill="E8EDF3" w:color="auto" w:val="clear"/>
        <w:spacing w:after="120" w:before="320" w:line="288" w:lineRule="auto"/>
      </w:pPr>
      <w:r>
        <w:rPr>
          <w:rFonts w:ascii="Calibri" w:cs="Calibri" w:eastAsia="Calibri" w:hAnsi="Calibri"/>
          <w:b/>
          <w:bCs/>
          <w:i w:val="false"/>
          <w:iCs w:val="false"/>
          <w:color w:val="0E2040"/>
          <w:sz w:val="28"/>
          <w:szCs w:val="28"/>
        </w:rPr>
        <w:t xml:space="preserve">4.  What This Means for the Presentation and the Project</w:t>
      </w:r>
    </w:p>
    <w:p>
      <w:pPr>
        <w:spacing w:after="80" w:before="40" w:line="296" w:lineRule="auto"/>
        <w:jc w:val="left"/>
      </w:pPr>
      <w:r>
        <w:rPr>
          <w:rFonts w:ascii="Calibri" w:cs="Calibri" w:eastAsia="Calibri" w:hAnsi="Calibri"/>
          <w:b w:val="false"/>
          <w:bCs w:val="false"/>
          <w:i w:val="false"/>
          <w:iCs w:val="false"/>
          <w:color w:val="1A1A2E"/>
          <w:sz w:val="20"/>
          <w:szCs w:val="20"/>
        </w:rPr>
        <w:t xml:space="preserve">The financial slides and site profile slides are tool-informed but not tool-generated for the CAPEX and capacity line items. The five-layer municipal scoring and site selection are fully tool-derived. The economics shown in the financial comparison slide are a downstream model that uses the tool’s outputs — EJ eligibility, hosting capacity, zoning, revenue stack, ITC flags — as inputs into a separate financial calculation using NREL costs and ISO-NE revenue data.</w:t>
      </w:r>
    </w:p>
    <w:p>
      <w:pPr>
        <w:spacing w:after="60" w:before="40" w:line="296" w:lineRule="auto"/>
        <w:jc w:val="left"/>
      </w:pPr>
      <w:r>
        <w:rPr>
          <w:rFonts w:ascii="Calibri" w:cs="Calibri" w:eastAsia="Calibri" w:hAnsi="Calibri"/>
          <w:b w:val="false"/>
          <w:bCs w:val="false"/>
          <w:i w:val="false"/>
          <w:iCs w:val="false"/>
          <w:color w:val="1A1A2E"/>
          <w:sz w:val="20"/>
          <w:szCs w:val="20"/>
        </w:rPr>
        <w:t xml:space="preserve">In presentation terms, this means:</w:t>
      </w:r>
    </w:p>
    <w:p>
      <w:pPr>
        <w:pStyle w:val="ListParagraph"/>
        <w:numPr>
          <w:ilvl w:val="0"/>
          <w:numId w:val="2"/>
        </w:numPr>
        <w:spacing w:after="50" w:before="50" w:line="280" w:lineRule="auto"/>
      </w:pPr>
      <w:r>
        <w:rPr>
          <w:rFonts w:ascii="Calibri" w:cs="Calibri" w:eastAsia="Calibri" w:hAnsi="Calibri"/>
          <w:b w:val="false"/>
          <w:bCs w:val="false"/>
          <w:i w:val="false"/>
          <w:iCs w:val="false"/>
          <w:color w:val="1A1A2E"/>
          <w:sz w:val="20"/>
          <w:szCs w:val="20"/>
        </w:rPr>
        <w:t xml:space="preserve">The tool’s claim to identify the best sites (Everett #1, Chelsea #2) is fully defensible and directly supported by the five-layer MCE scoring</w:t>
      </w:r>
    </w:p>
    <w:p>
      <w:pPr>
        <w:pStyle w:val="ListParagraph"/>
        <w:numPr>
          <w:ilvl w:val="0"/>
          <w:numId w:val="2"/>
        </w:numPr>
        <w:spacing w:after="50" w:before="50" w:line="280" w:lineRule="auto"/>
      </w:pPr>
      <w:r>
        <w:rPr>
          <w:rFonts w:ascii="Calibri" w:cs="Calibri" w:eastAsia="Calibri" w:hAnsi="Calibri"/>
          <w:b w:val="false"/>
          <w:bCs w:val="false"/>
          <w:i w:val="false"/>
          <w:iCs w:val="false"/>
          <w:color w:val="1A1A2E"/>
          <w:sz w:val="20"/>
          <w:szCs w:val="20"/>
        </w:rPr>
        <w:t xml:space="preserve">The financial figures shown are reasonable, benchmark-grounded estimates — but should be introduced to audiences as “tool-informed financial modeling” rather than “tool outputs”</w:t>
      </w:r>
    </w:p>
    <w:p>
      <w:pPr>
        <w:pStyle w:val="ListParagraph"/>
        <w:numPr>
          <w:ilvl w:val="0"/>
          <w:numId w:val="2"/>
        </w:numPr>
        <w:spacing w:after="50" w:before="50" w:line="280" w:lineRule="auto"/>
      </w:pPr>
      <w:r>
        <w:rPr>
          <w:rFonts w:ascii="Calibri" w:cs="Calibri" w:eastAsia="Calibri" w:hAnsi="Calibri"/>
          <w:b w:val="false"/>
          <w:bCs w:val="false"/>
          <w:i w:val="false"/>
          <w:iCs w:val="false"/>
          <w:color w:val="1A1A2E"/>
          <w:sz w:val="20"/>
          <w:szCs w:val="20"/>
        </w:rPr>
        <w:t xml:space="preserve">Speaker notes or footnotes on the financial comparison slide should clarify that CAPEX and MW figures are modeled estimates pending GIS-confirmed parcel-level data</w:t>
      </w:r>
    </w:p>
    <w:p>
      <w:pPr>
        <w:spacing w:after="0" w:before="80"/>
      </w:pPr>
      <w:r>
        <w:rPr>
          <w:sz w:val="2"/>
          <w:szCs w:val="2"/>
        </w:rPr>
        <w:t xml:space="preserve"/>
      </w:r>
    </w:p>
    <w:p>
      <w:pPr>
        <w:pBdr>
          <w:bottom w:val="single" w:color="0D7C7B" w:sz="4" w:space="0"/>
        </w:pBdr>
        <w:spacing w:after="80" w:before="240" w:line="288" w:lineRule="auto"/>
      </w:pPr>
      <w:r>
        <w:rPr>
          <w:rFonts w:ascii="Calibri" w:cs="Calibri" w:eastAsia="Calibri" w:hAnsi="Calibri"/>
          <w:b/>
          <w:bCs/>
          <w:i w:val="false"/>
          <w:iCs w:val="false"/>
          <w:color w:val="0D7C7B"/>
          <w:sz w:val="24"/>
          <w:szCs w:val="24"/>
        </w:rPr>
        <w:t xml:space="preserve">Recommended Next Development Step</w:t>
      </w:r>
    </w:p>
    <w:p>
      <w:pPr>
        <w:spacing w:after="60" w:before="40" w:line="296" w:lineRule="auto"/>
        <w:jc w:val="left"/>
      </w:pPr>
      <w:r>
        <w:rPr>
          <w:rFonts w:ascii="Calibri" w:cs="Calibri" w:eastAsia="Calibri" w:hAnsi="Calibri"/>
          <w:b w:val="false"/>
          <w:bCs w:val="false"/>
          <w:i w:val="false"/>
          <w:iCs w:val="false"/>
          <w:color w:val="1A1A2E"/>
          <w:sz w:val="20"/>
          <w:szCs w:val="20"/>
        </w:rPr>
        <w:t xml:space="preserve">To make the CAPEX and capacity figures genuinely tool-generated, a sixth output module should be added to the tool with the following logic:</w:t>
      </w:r>
    </w:p>
    <w:tbl>
      <w:tblPr>
        <w:tblW w:type="dxa" w:w="9072"/>
        <w:tblBorders>
          <w:top w:val="single" w:color="CCCCCC" w:sz="1" w:space="0"/>
          <w:left w:val="single" w:color="CCCCCC" w:sz="1" w:space="0"/>
          <w:bottom w:val="single" w:color="CCCCCC" w:sz="1" w:space="0"/>
          <w:right w:val="single" w:color="CCCCCC" w:sz="1" w:space="0"/>
          <w:insideH w:val="single" w:color="auto" w:sz="4"/>
          <w:insideV w:val="single" w:color="auto" w:sz="4"/>
        </w:tblBorders>
      </w:tblPr>
      <w:tblGrid>
        <w:gridCol w:w="480"/>
        <w:gridCol w:w="3800"/>
        <w:gridCol w:w="4792"/>
      </w:tblGrid>
      <w:tr>
        <w:trPr>
          <w:tblHeader/>
        </w:trPr>
        <w:tc>
          <w:tcPr>
            <w:tcW w:type="dxa" w:w="48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vAlign w:val="center"/>
          </w:tcPr>
          <w:p>
            <w:pPr>
              <w:spacing w:after="120" w:before="0" w:line="288" w:lineRule="auto"/>
              <w:jc w:val="center"/>
            </w:pPr>
            <w:r>
              <w:rPr>
                <w:rFonts w:ascii="Calibri" w:cs="Calibri" w:eastAsia="Calibri" w:hAnsi="Calibri"/>
                <w:b/>
                <w:bCs/>
                <w:i w:val="false"/>
                <w:iCs w:val="false"/>
                <w:color w:val="FFFFFF"/>
                <w:sz w:val="18"/>
                <w:szCs w:val="18"/>
              </w:rPr>
              <w:t xml:space="preserve">Step</w:t>
            </w:r>
          </w:p>
        </w:tc>
        <w:tc>
          <w:tcPr>
            <w:tcW w:type="dxa" w:w="380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vAlign w:val="center"/>
          </w:tcPr>
          <w:p>
            <w:pPr>
              <w:spacing w:after="120" w:before="0" w:line="288" w:lineRule="auto"/>
              <w:jc w:val="center"/>
            </w:pPr>
            <w:r>
              <w:rPr>
                <w:rFonts w:ascii="Calibri" w:cs="Calibri" w:eastAsia="Calibri" w:hAnsi="Calibri"/>
                <w:b/>
                <w:bCs/>
                <w:i w:val="false"/>
                <w:iCs w:val="false"/>
                <w:color w:val="FFFFFF"/>
                <w:sz w:val="18"/>
                <w:szCs w:val="18"/>
              </w:rPr>
              <w:t xml:space="preserve">Action</w:t>
            </w:r>
          </w:p>
        </w:tc>
        <w:tc>
          <w:tcPr>
            <w:tcW w:type="dxa" w:w="4792"/>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vAlign w:val="center"/>
          </w:tcPr>
          <w:p>
            <w:pPr>
              <w:spacing w:after="120" w:before="0" w:line="288" w:lineRule="auto"/>
              <w:jc w:val="center"/>
            </w:pPr>
            <w:r>
              <w:rPr>
                <w:rFonts w:ascii="Calibri" w:cs="Calibri" w:eastAsia="Calibri" w:hAnsi="Calibri"/>
                <w:b/>
                <w:bCs/>
                <w:i w:val="false"/>
                <w:iCs w:val="false"/>
                <w:color w:val="FFFFFF"/>
                <w:sz w:val="18"/>
                <w:szCs w:val="18"/>
              </w:rPr>
              <w:t xml:space="preserve">Data Source</w:t>
            </w:r>
          </w:p>
        </w:tc>
      </w:tr>
      <w:tr>
        <w:tc>
          <w:tcPr>
            <w:tcW w:type="dxa" w:w="48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1</w:t>
            </w:r>
          </w:p>
        </w:tc>
        <w:tc>
          <w:tcPr>
            <w:tcW w:type="dxa" w:w="38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Accept a specific parcel address and GIS-confirmed acreage as inputs</w:t>
            </w:r>
          </w:p>
        </w:tc>
        <w:tc>
          <w:tcPr>
            <w:tcW w:type="dxa" w:w="479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County parcel records, MassGIS parcel layer</w:t>
            </w:r>
          </w:p>
        </w:tc>
      </w:tr>
      <w:tr>
        <w:tc>
          <w:tcPr>
            <w:tcW w:type="dxa" w:w="48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2</w:t>
            </w:r>
          </w:p>
        </w:tc>
        <w:tc>
          <w:tcPr>
            <w:tcW w:type="dxa" w:w="38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Apply municipality-specific setback rules (already in Layer 3) to calculate net buildable area</w:t>
            </w:r>
          </w:p>
        </w:tc>
        <w:tc>
          <w:tcPr>
            <w:tcW w:type="dxa" w:w="479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DOER Model Bylaw + municipal zoning codes</w:t>
            </w:r>
          </w:p>
        </w:tc>
      </w:tr>
      <w:tr>
        <w:tc>
          <w:tcPr>
            <w:tcW w:type="dxa" w:w="48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3</w:t>
            </w:r>
          </w:p>
        </w:tc>
        <w:tc>
          <w:tcPr>
            <w:tcW w:type="dxa" w:w="38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Apply configurable power density factor to produce parcel-specific MW estimate</w:t>
            </w:r>
          </w:p>
        </w:tc>
        <w:tc>
          <w:tcPr>
            <w:tcW w:type="dxa" w:w="479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Industry standard: 20–50 MW/acre for containerized LFP</w:t>
            </w:r>
          </w:p>
        </w:tc>
      </w:tr>
      <w:tr>
        <w:tc>
          <w:tcPr>
            <w:tcW w:type="dxa" w:w="48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4</w:t>
            </w:r>
          </w:p>
        </w:tc>
        <w:tc>
          <w:tcPr>
            <w:tcW w:type="dxa" w:w="38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Multiply by NREL cost curve (already in Layer 5) to produce a CAPEX range</w:t>
            </w:r>
          </w:p>
        </w:tc>
        <w:tc>
          <w:tcPr>
            <w:tcW w:type="dxa" w:w="479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NREL ATB 2024/2025 with duration adjustment</w:t>
            </w:r>
          </w:p>
        </w:tc>
      </w:tr>
      <w:tr>
        <w:tc>
          <w:tcPr>
            <w:tcW w:type="dxa" w:w="48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5</w:t>
            </w:r>
          </w:p>
        </w:tc>
        <w:tc>
          <w:tcPr>
            <w:tcW w:type="dxa" w:w="38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Apply confirmed ITC tiers (Layers 1+4 flags) to produce net CAPEX scenarios</w:t>
            </w:r>
          </w:p>
        </w:tc>
        <w:tc>
          <w:tcPr>
            <w:tcW w:type="dxa" w:w="479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OBBBA July 2025 Section 48E ITC schedule</w:t>
            </w:r>
          </w:p>
        </w:tc>
      </w:tr>
      <w:tr>
        <w:tc>
          <w:tcPr>
            <w:tcW w:type="dxa" w:w="48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6</w:t>
            </w:r>
          </w:p>
        </w:tc>
        <w:tc>
          <w:tcPr>
            <w:tcW w:type="dxa" w:w="38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Output full pro forma (Revenue, O&amp;M, EBITDA, NPV, IRR) as a tool deliverable</w:t>
            </w:r>
          </w:p>
        </w:tc>
        <w:tc>
          <w:tcPr>
            <w:tcW w:type="dxa" w:w="479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Layer 5 revenue stack + NREL O&amp;M benchmark</w:t>
            </w:r>
          </w:p>
        </w:tc>
      </w:tr>
    </w:tbl>
    <w:p>
      <w:pPr>
        <w:spacing w:after="0" w:before="80"/>
      </w:pPr>
      <w:r>
        <w:rPr>
          <w:sz w:val="2"/>
          <w:szCs w:val="2"/>
        </w:rPr>
        <w:t xml:space="preserve"/>
      </w:r>
    </w:p>
    <w:p>
      <w:pPr>
        <w:spacing w:after="120" w:before="40" w:line="296" w:lineRule="auto"/>
        <w:jc w:val="left"/>
      </w:pPr>
      <w:r>
        <w:rPr>
          <w:rFonts w:ascii="Calibri" w:cs="Calibri" w:eastAsia="Calibri" w:hAnsi="Calibri"/>
          <w:b w:val="false"/>
          <w:bCs w:val="false"/>
          <w:i w:val="false"/>
          <w:iCs w:val="false"/>
          <w:color w:val="1A1A2E"/>
          <w:sz w:val="20"/>
          <w:szCs w:val="20"/>
        </w:rPr>
        <w:t xml:space="preserve">Adding this module would close the gap between what the tool currently does and what the financial slides imply it does — making the investment narrative fully defensible end-to-end.</w:t>
      </w:r>
    </w:p>
    <w:p>
      <w:pPr>
        <w:pBdr>
          <w:top w:val="single" w:color="0E2040" w:sz="2" w:space="0"/>
          <w:bottom w:val="single" w:color="0E2040" w:sz="8" w:space="0"/>
        </w:pBdr>
        <w:shd w:fill="E8EDF3" w:color="auto" w:val="clear"/>
        <w:spacing w:after="120" w:before="320" w:line="288" w:lineRule="auto"/>
      </w:pPr>
      <w:r>
        <w:rPr>
          <w:rFonts w:ascii="Calibri" w:cs="Calibri" w:eastAsia="Calibri" w:hAnsi="Calibri"/>
          <w:b/>
          <w:bCs/>
          <w:i w:val="false"/>
          <w:iCs w:val="false"/>
          <w:color w:val="0E2040"/>
          <w:sz w:val="28"/>
          <w:szCs w:val="28"/>
        </w:rPr>
        <w:t xml:space="preserve">5.  Data Sources Referenced in This Note</w:t>
      </w:r>
    </w:p>
    <w:tbl>
      <w:tblPr>
        <w:tblW w:type="dxa" w:w="9072"/>
        <w:tblBorders>
          <w:top w:val="single" w:color="CCCCCC" w:sz="1" w:space="0"/>
          <w:left w:val="single" w:color="CCCCCC" w:sz="1" w:space="0"/>
          <w:bottom w:val="single" w:color="CCCCCC" w:sz="1" w:space="0"/>
          <w:right w:val="single" w:color="CCCCCC" w:sz="1" w:space="0"/>
          <w:insideH w:val="single" w:color="auto" w:sz="4"/>
          <w:insideV w:val="single" w:color="auto" w:sz="4"/>
        </w:tblBorders>
      </w:tblPr>
      <w:tblGrid>
        <w:gridCol w:w="2800"/>
        <w:gridCol w:w="1900"/>
        <w:gridCol w:w="4372"/>
      </w:tblGrid>
      <w:tr>
        <w:trPr>
          <w:tblHeader/>
        </w:trPr>
        <w:tc>
          <w:tcPr>
            <w:tcW w:type="dxa" w:w="280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vAlign w:val="center"/>
          </w:tcPr>
          <w:p>
            <w:pPr>
              <w:spacing w:after="120" w:before="0" w:line="288" w:lineRule="auto"/>
              <w:jc w:val="center"/>
            </w:pPr>
            <w:r>
              <w:rPr>
                <w:rFonts w:ascii="Calibri" w:cs="Calibri" w:eastAsia="Calibri" w:hAnsi="Calibri"/>
                <w:b/>
                <w:bCs/>
                <w:i w:val="false"/>
                <w:iCs w:val="false"/>
                <w:color w:val="FFFFFF"/>
                <w:sz w:val="18"/>
                <w:szCs w:val="18"/>
              </w:rPr>
              <w:t xml:space="preserve">Source</w:t>
            </w:r>
          </w:p>
        </w:tc>
        <w:tc>
          <w:tcPr>
            <w:tcW w:type="dxa" w:w="190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vAlign w:val="center"/>
          </w:tcPr>
          <w:p>
            <w:pPr>
              <w:spacing w:after="120" w:before="0" w:line="288" w:lineRule="auto"/>
              <w:jc w:val="center"/>
            </w:pPr>
            <w:r>
              <w:rPr>
                <w:rFonts w:ascii="Calibri" w:cs="Calibri" w:eastAsia="Calibri" w:hAnsi="Calibri"/>
                <w:b/>
                <w:bCs/>
                <w:i w:val="false"/>
                <w:iCs w:val="false"/>
                <w:color w:val="FFFFFF"/>
                <w:sz w:val="18"/>
                <w:szCs w:val="18"/>
              </w:rPr>
              <w:t xml:space="preserve">Organization</w:t>
            </w:r>
          </w:p>
        </w:tc>
        <w:tc>
          <w:tcPr>
            <w:tcW w:type="dxa" w:w="4372"/>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vAlign w:val="center"/>
          </w:tcPr>
          <w:p>
            <w:pPr>
              <w:spacing w:after="120" w:before="0" w:line="288" w:lineRule="auto"/>
              <w:jc w:val="center"/>
            </w:pPr>
            <w:r>
              <w:rPr>
                <w:rFonts w:ascii="Calibri" w:cs="Calibri" w:eastAsia="Calibri" w:hAnsi="Calibri"/>
                <w:b/>
                <w:bCs/>
                <w:i w:val="false"/>
                <w:iCs w:val="false"/>
                <w:color w:val="FFFFFF"/>
                <w:sz w:val="18"/>
                <w:szCs w:val="18"/>
              </w:rPr>
              <w:t xml:space="preserve">URL / Reference</w:t>
            </w:r>
          </w:p>
        </w:tc>
      </w:tr>
      <w:tr>
        <w:tc>
          <w:tcPr>
            <w:tcW w:type="dxa" w:w="28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NREL 2025 Battery Storage Cost Projections Update</w:t>
            </w:r>
          </w:p>
        </w:tc>
        <w:tc>
          <w:tcPr>
            <w:tcW w:type="dxa" w:w="19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NREL</w:t>
            </w:r>
          </w:p>
        </w:tc>
        <w:tc>
          <w:tcPr>
            <w:tcW w:type="dxa" w:w="43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DOI: 10.2172/2583471  ·  docs.nrel.gov/docs/fy25osti/93281.pdf</w:t>
            </w:r>
          </w:p>
        </w:tc>
      </w:tr>
      <w:tr>
        <w:tc>
          <w:tcPr>
            <w:tcW w:type="dxa" w:w="28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NREL 2024 Annual Technology Baseline (ATB)</w:t>
            </w:r>
          </w:p>
        </w:tc>
        <w:tc>
          <w:tcPr>
            <w:tcW w:type="dxa" w:w="19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NREL</w:t>
            </w:r>
          </w:p>
        </w:tc>
        <w:tc>
          <w:tcPr>
            <w:tcW w:type="dxa" w:w="43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atb.nrel.gov/electricity/2024/utility-scale_battery_storage</w:t>
            </w:r>
          </w:p>
        </w:tc>
      </w:tr>
      <w:tr>
        <w:tc>
          <w:tcPr>
            <w:tcW w:type="dxa" w:w="28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ISO-NE Forward Capacity Auction Results (FCA 14–18)</w:t>
            </w:r>
          </w:p>
        </w:tc>
        <w:tc>
          <w:tcPr>
            <w:tcW w:type="dxa" w:w="19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ISO-NE / ISO Newswire</w:t>
            </w:r>
          </w:p>
        </w:tc>
        <w:tc>
          <w:tcPr>
            <w:tcW w:type="dxa" w:w="43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isonewswire.com</w:t>
            </w:r>
          </w:p>
        </w:tc>
      </w:tr>
      <w:tr>
        <w:tc>
          <w:tcPr>
            <w:tcW w:type="dxa" w:w="28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ISO-NE 2024 Annual Markets Report</w:t>
            </w:r>
          </w:p>
        </w:tc>
        <w:tc>
          <w:tcPr>
            <w:tcW w:type="dxa" w:w="19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ISO-NE</w:t>
            </w:r>
          </w:p>
        </w:tc>
        <w:tc>
          <w:tcPr>
            <w:tcW w:type="dxa" w:w="43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iso-ne.com/static-assets/documents/100023/2024-annual-markets-report.pdf</w:t>
            </w:r>
          </w:p>
        </w:tc>
      </w:tr>
      <w:tr>
        <w:tc>
          <w:tcPr>
            <w:tcW w:type="dxa" w:w="28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MassGIS 2020 EJ Population Layer</w:t>
            </w:r>
          </w:p>
        </w:tc>
        <w:tc>
          <w:tcPr>
            <w:tcW w:type="dxa" w:w="19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MassGIS / OEJE</w:t>
            </w:r>
          </w:p>
        </w:tc>
        <w:tc>
          <w:tcPr>
            <w:tcW w:type="dxa" w:w="43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mass.gov/info-details/massgis-data-2020-environmental-justice-populations</w:t>
            </w:r>
          </w:p>
        </w:tc>
      </w:tr>
      <w:tr>
        <w:tc>
          <w:tcPr>
            <w:tcW w:type="dxa" w:w="28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OEJE CIA Standards &amp; Guidelines (980 CMR 15.00)</w:t>
            </w:r>
          </w:p>
        </w:tc>
        <w:tc>
          <w:tcPr>
            <w:tcW w:type="dxa" w:w="19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OEJE</w:t>
            </w:r>
          </w:p>
        </w:tc>
        <w:tc>
          <w:tcPr>
            <w:tcW w:type="dxa" w:w="43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Issued January 23, 2026</w:t>
            </w:r>
          </w:p>
        </w:tc>
      </w:tr>
      <w:tr>
        <w:tc>
          <w:tcPr>
            <w:tcW w:type="dxa" w:w="28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DOER Model BESS Bylaw</w:t>
            </w:r>
          </w:p>
        </w:tc>
        <w:tc>
          <w:tcPr>
            <w:tcW w:type="dxa" w:w="19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MassDOER</w:t>
            </w:r>
          </w:p>
        </w:tc>
        <w:tc>
          <w:tcPr>
            <w:tcW w:type="dxa" w:w="43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mass.gov/doc/doer-draft-battery-energy-storage-systems-bess-model-bylaw/download (Oct 6, 2025)</w:t>
            </w:r>
          </w:p>
        </w:tc>
      </w:tr>
      <w:tr>
        <w:tc>
          <w:tcPr>
            <w:tcW w:type="dxa" w:w="28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One Big Beautiful Bill Act — Section 48E ITC</w:t>
            </w:r>
          </w:p>
        </w:tc>
        <w:tc>
          <w:tcPr>
            <w:tcW w:type="dxa" w:w="19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US Congress</w:t>
            </w:r>
          </w:p>
        </w:tc>
        <w:tc>
          <w:tcPr>
            <w:tcW w:type="dxa" w:w="43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Enacted July 2025</w:t>
            </w:r>
          </w:p>
        </w:tc>
      </w:tr>
      <w:tr>
        <w:tc>
          <w:tcPr>
            <w:tcW w:type="dxa" w:w="28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Eversource Hosting Capacity Map</w:t>
            </w:r>
          </w:p>
        </w:tc>
        <w:tc>
          <w:tcPr>
            <w:tcW w:type="dxa" w:w="19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Eversource / envelio</w:t>
            </w:r>
          </w:p>
        </w:tc>
        <w:tc>
          <w:tcPr>
            <w:tcW w:type="dxa" w:w="43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20" w:before="0" w:line="288" w:lineRule="auto"/>
              <w:jc w:val="left"/>
            </w:pPr>
            <w:r>
              <w:rPr>
                <w:rFonts w:ascii="Calibri" w:cs="Calibri" w:eastAsia="Calibri" w:hAnsi="Calibri"/>
                <w:b w:val="false"/>
                <w:bCs w:val="false"/>
                <w:i w:val="false"/>
                <w:iCs w:val="false"/>
                <w:color w:val="1A1A2E"/>
                <w:sz w:val="19"/>
                <w:szCs w:val="19"/>
              </w:rPr>
              <w:t xml:space="preserve">eversource.com/residential/about/doing-business-with-us/interconnections/massachusetts/hosting-capacity-map</w:t>
            </w:r>
          </w:p>
        </w:tc>
      </w:tr>
    </w:tbl>
    <w:p>
      <w:pPr>
        <w:spacing w:after="0" w:before="80"/>
      </w:pPr>
      <w:r>
        <w:rPr>
          <w:sz w:val="2"/>
          <w:szCs w:val="2"/>
        </w:rPr>
        <w:t xml:space="preserve"/>
      </w:r>
    </w:p>
    <w:p>
      <w:pPr>
        <w:pBdr>
          <w:top w:val="single" w:color="E8EDF3" w:sz="2" w:space="0"/>
        </w:pBdr>
        <w:spacing w:after="0" w:before="80" w:line="264" w:lineRule="auto"/>
      </w:pPr>
      <w:r>
        <w:rPr>
          <w:rFonts w:ascii="Calibri" w:cs="Calibri" w:eastAsia="Calibri" w:hAnsi="Calibri"/>
          <w:b w:val="false"/>
          <w:bCs w:val="false"/>
          <w:i/>
          <w:iCs/>
          <w:color w:val="6B7C8D"/>
          <w:sz w:val="17"/>
          <w:szCs w:val="17"/>
        </w:rPr>
        <w:t xml:space="preserve">This document is a methodology note prepared for internal project review. All financial figures are tool-informed estimates based on publicly available benchmark data. They do not constitute a formal financial analysis, appraisal, or investment advice. Parcel-specific capacity and CAPEX figures should be verified against GIS-confirmed site data before use in formal project financing or regulatory submissions.</w:t>
      </w:r>
    </w:p>
    <w:sectPr>
      <w:headerReference w:type="default" r:id="rId7"/>
      <w:footerReference w:type="default" r:id="rId8"/>
      <w:pgSz w:w="12240" w:h="15840" w:orient="portrait"/>
      <w:pgMar w:top="1152" w:right="1008"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6000"/>
      <w:gridCol w:w="3072"/>
    </w:tblGrid>
    <w:tr>
      <w:tc>
        <w:tcPr>
          <w:tcW w:type="dxa" w:w="6000"/>
          <w:tcBorders>
            <w:top w:val="single" w:color="E8EDF3" w:sz="2" w:space="0"/>
            <w:left w:val="none" w:color="FFFFFF" w:sz="0" w:space="0"/>
            <w:bottom w:val="none" w:color="FFFFFF" w:sz="0" w:space="0"/>
            <w:right w:val="none" w:color="FFFFFF" w:sz="0" w:space="0"/>
          </w:tcBorders>
          <w:tcMar>
            <w:top w:type="dxa" w:w="60"/>
            <w:left w:type="dxa" w:w="0"/>
            <w:bottom w:type="dxa" w:w="0"/>
            <w:right w:type="dxa" w:w="0"/>
          </w:tcMar>
        </w:tcPr>
        <w:p>
          <w:pPr>
            <w:spacing w:after="120" w:before="0" w:line="288" w:lineRule="auto"/>
            <w:jc w:val="left"/>
          </w:pPr>
          <w:r>
            <w:rPr>
              <w:rFonts w:ascii="Calibri" w:cs="Calibri" w:eastAsia="Calibri" w:hAnsi="Calibri"/>
              <w:b w:val="false"/>
              <w:bCs w:val="false"/>
              <w:i/>
              <w:iCs/>
              <w:color w:val="6B7C8D"/>
              <w:sz w:val="15"/>
              <w:szCs w:val="15"/>
            </w:rPr>
            <w:t xml:space="preserve">CONFIDENTIAL  ·  TPS × MassDOER Fellowship Project  ·  April 2026</w:t>
          </w:r>
        </w:p>
      </w:tc>
      <w:tc>
        <w:tcPr>
          <w:tcW w:type="dxa" w:w="3072"/>
          <w:tcBorders>
            <w:top w:val="single" w:color="E8EDF3" w:sz="2" w:space="0"/>
            <w:left w:val="none" w:color="FFFFFF" w:sz="0" w:space="0"/>
            <w:bottom w:val="none" w:color="FFFFFF" w:sz="0" w:space="0"/>
            <w:right w:val="none" w:color="FFFFFF" w:sz="0" w:space="0"/>
          </w:tcBorders>
          <w:tcMar>
            <w:top w:type="dxa" w:w="60"/>
            <w:left w:type="dxa" w:w="0"/>
            <w:bottom w:type="dxa" w:w="0"/>
            <w:right w:type="dxa" w:w="0"/>
          </w:tcMar>
        </w:tcPr>
        <w:p>
          <w:pPr>
            <w:spacing w:after="0" w:before="0"/>
            <w:jc w:val="right"/>
          </w:pPr>
          <w:r>
            <w:rPr>
              <w:rFonts w:ascii="Calibri" w:cs="Calibri" w:eastAsia="Calibri" w:hAnsi="Calibri"/>
              <w:b w:val="false"/>
              <w:bCs w:val="false"/>
              <w:i w:val="false"/>
              <w:iCs w:val="false"/>
              <w:color w:val="6B7C8D"/>
              <w:sz w:val="15"/>
              <w:szCs w:val="15"/>
            </w:rPr>
            <w:t xml:space="preserve">Page </w:t>
          </w:r>
          <w:r>
            <w:rPr>
              <w:rFonts w:ascii="Calibri" w:cs="Calibri" w:eastAsia="Calibri" w:hAnsi="Calibri"/>
              <w:color w:val="6B7C8D"/>
              <w:sz w:val="15"/>
              <w:szCs w:val="15"/>
            </w:rPr>
            <w:fldChar w:fldCharType="begin"/>
            <w:instrText xml:space="preserve">PAGE</w:instrText>
            <w:fldChar w:fldCharType="separate"/>
            <w:fldChar w:fldCharType="end"/>
          </w:r>
          <w:r>
            <w:rPr>
              <w:rFonts w:ascii="Calibri" w:cs="Calibri" w:eastAsia="Calibri" w:hAnsi="Calibri"/>
              <w:b w:val="false"/>
              <w:bCs w:val="false"/>
              <w:i w:val="false"/>
              <w:iCs w:val="false"/>
              <w:color w:val="6B7C8D"/>
              <w:sz w:val="15"/>
              <w:szCs w:val="15"/>
            </w:rPr>
            <w:t xml:space="preserve"> of </w:t>
          </w:r>
          <w:r>
            <w:rPr>
              <w:rFonts w:ascii="Calibri" w:cs="Calibri" w:eastAsia="Calibri" w:hAnsi="Calibri"/>
              <w:color w:val="6B7C8D"/>
              <w:sz w:val="15"/>
              <w:szCs w:val="15"/>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6000"/>
      <w:gridCol w:w="3072"/>
    </w:tblGrid>
    <w:tr>
      <w:tc>
        <w:tcPr>
          <w:tcW w:type="dxa" w:w="6000"/>
          <w:tcBorders>
            <w:top w:val="none" w:color="FFFFFF" w:sz="0" w:space="0"/>
            <w:left w:val="none" w:color="FFFFFF" w:sz="0" w:space="0"/>
            <w:bottom w:val="single" w:color="0D7C7B" w:sz="4" w:space="0"/>
            <w:right w:val="none" w:color="FFFFFF" w:sz="0" w:space="0"/>
          </w:tcBorders>
          <w:tcMar>
            <w:top w:type="dxa" w:w="0"/>
            <w:left w:type="dxa" w:w="0"/>
            <w:bottom w:type="dxa" w:w="60"/>
            <w:right w:type="dxa" w:w="0"/>
          </w:tcMar>
        </w:tcPr>
        <w:p>
          <w:pPr>
            <w:spacing w:after="120" w:before="0" w:line="288" w:lineRule="auto"/>
            <w:jc w:val="left"/>
          </w:pPr>
          <w:r>
            <w:rPr>
              <w:rFonts w:ascii="Calibri" w:cs="Calibri" w:eastAsia="Calibri" w:hAnsi="Calibri"/>
              <w:b/>
              <w:bCs/>
              <w:i w:val="false"/>
              <w:iCs w:val="false"/>
              <w:color w:val="0D7C7B"/>
              <w:sz w:val="16"/>
              <w:szCs w:val="16"/>
            </w:rPr>
            <w:t xml:space="preserve">Next-Generation BESS Siting Tool  ·  Methodology Note: CAPEX &amp; Capacity Sources</w:t>
          </w:r>
        </w:p>
      </w:tc>
      <w:tc>
        <w:tcPr>
          <w:tcW w:type="dxa" w:w="3072"/>
          <w:tcBorders>
            <w:top w:val="none" w:color="FFFFFF" w:sz="0" w:space="0"/>
            <w:left w:val="none" w:color="FFFFFF" w:sz="0" w:space="0"/>
            <w:bottom w:val="single" w:color="0D7C7B" w:sz="4" w:space="0"/>
            <w:right w:val="none" w:color="FFFFFF" w:sz="0" w:space="0"/>
          </w:tcBorders>
          <w:tcMar>
            <w:top w:type="dxa" w:w="0"/>
            <w:left w:type="dxa" w:w="0"/>
            <w:bottom w:type="dxa" w:w="60"/>
            <w:right w:type="dxa" w:w="0"/>
          </w:tcMar>
        </w:tcPr>
        <w:p>
          <w:pPr>
            <w:spacing w:after="120" w:before="0" w:line="288" w:lineRule="auto"/>
            <w:jc w:val="right"/>
          </w:pPr>
          <w:r>
            <w:rPr>
              <w:rFonts w:ascii="Calibri" w:cs="Calibri" w:eastAsia="Calibri" w:hAnsi="Calibri"/>
              <w:b w:val="false"/>
              <w:bCs w:val="false"/>
              <w:i w:val="false"/>
              <w:iCs w:val="false"/>
              <w:color w:val="6B7C8D"/>
              <w:sz w:val="16"/>
              <w:szCs w:val="16"/>
            </w:rPr>
            <w:t xml:space="preserve">TPS × MassDOER  ·  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2026-04-16T16:43:36.526Z</dcterms:created>
  <dcterms:modified xsi:type="dcterms:W3CDTF">2026-04-16T16:43:36.527Z</dcterms:modified>
</cp:coreProperties>
</file>

<file path=docProps/custom.xml><?xml version="1.0" encoding="utf-8"?>
<Properties xmlns="http://schemas.openxmlformats.org/officeDocument/2006/custom-properties" xmlns:vt="http://schemas.openxmlformats.org/officeDocument/2006/docPropsVTypes"/>
</file>