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9072"/>
      </w:tblGrid>
      <w:tr>
        <w:tc>
          <w:tcPr>
            <w:tcW w:type="dxa" w:w="9072"/>
            <w:tcBorders>
              <w:top w:val="none" w:color="FFFFFF" w:sz="0" w:space="0"/>
              <w:left w:val="none" w:color="FFFFFF" w:sz="0" w:space="0"/>
              <w:bottom w:val="none" w:color="FFFFFF" w:sz="0" w:space="0"/>
              <w:right w:val="none" w:color="FFFFFF" w:sz="0" w:space="0"/>
            </w:tcBorders>
            <w:shd w:fill="0E2040" w:color="auto" w:val="clear"/>
            <w:tcMar>
              <w:top w:type="dxa" w:w="360"/>
              <w:left w:type="dxa" w:w="360"/>
              <w:bottom w:type="dxa" w:w="360"/>
              <w:right w:type="dxa" w:w="360"/>
            </w:tcMar>
          </w:tcPr>
          <w:p>
            <w:pPr>
              <w:spacing w:after="80" w:before="0" w:line="288" w:lineRule="auto"/>
              <w:jc w:val="center"/>
            </w:pPr>
            <w:r>
              <w:rPr>
                <w:rFonts w:ascii="Calibri" w:cs="Calibri" w:eastAsia="Calibri" w:hAnsi="Calibri"/>
                <w:b/>
                <w:bCs/>
                <w:i w:val="false"/>
                <w:iCs w:val="false"/>
                <w:color w:val="9BB8D4"/>
                <w:sz w:val="18"/>
                <w:szCs w:val="18"/>
              </w:rPr>
              <w:t xml:space="preserve">PRIVATE DEVELOPER STAKEHOLDER GUIDE</w:t>
            </w:r>
          </w:p>
          <w:p>
            <w:pPr>
              <w:spacing w:after="80" w:before="0" w:line="288" w:lineRule="auto"/>
              <w:jc w:val="center"/>
            </w:pPr>
            <w:r>
              <w:rPr>
                <w:rFonts w:ascii="Calibri" w:cs="Calibri" w:eastAsia="Calibri" w:hAnsi="Calibri"/>
                <w:b/>
                <w:bCs/>
                <w:i w:val="false"/>
                <w:iCs w:val="false"/>
                <w:color w:val="FFFFFF"/>
                <w:sz w:val="48"/>
                <w:szCs w:val="48"/>
              </w:rPr>
              <w:t xml:space="preserve">Next-Generation BESS Siting Tool</w:t>
            </w:r>
          </w:p>
          <w:p>
            <w:pPr>
              <w:spacing w:after="120" w:before="0" w:line="288" w:lineRule="auto"/>
              <w:jc w:val="center"/>
            </w:pPr>
            <w:r>
              <w:rPr>
                <w:rFonts w:ascii="Calibri" w:cs="Calibri" w:eastAsia="Calibri" w:hAnsi="Calibri"/>
                <w:b w:val="false"/>
                <w:bCs w:val="false"/>
                <w:i w:val="false"/>
                <w:iCs w:val="false"/>
                <w:color w:val="B8D4E8"/>
                <w:sz w:val="22"/>
                <w:szCs w:val="22"/>
              </w:rPr>
              <w:t xml:space="preserve">How to Use the Tool · What Risks It Surfaces · How to Shorten Time-to-Permit</w:t>
            </w:r>
          </w:p>
          <w:p>
            <w:pPr>
              <w:spacing w:after="80" w:before="0" w:line="288" w:lineRule="auto"/>
              <w:jc w:val="center"/>
            </w:pPr>
            <w:r>
              <w:rPr>
                <w:rFonts w:ascii="Calibri" w:cs="Calibri" w:eastAsia="Calibri" w:hAnsi="Calibri"/>
                <w:b/>
                <w:bCs/>
                <w:i w:val="false"/>
                <w:iCs w:val="false"/>
                <w:color w:val="C68A17"/>
                <w:sz w:val="28"/>
                <w:szCs w:val="28"/>
              </w:rPr>
              <w:t xml:space="preserve">Chelsea &amp; Everett, MA  </w:t>
            </w:r>
            <w:r>
              <w:rPr>
                <w:rFonts w:ascii="Calibri" w:cs="Calibri" w:eastAsia="Calibri" w:hAnsi="Calibri"/>
                <w:b w:val="false"/>
                <w:bCs w:val="false"/>
                <w:i w:val="false"/>
                <w:iCs w:val="false"/>
                <w:color w:val="B8D4E8"/>
                <w:sz w:val="22"/>
                <w:szCs w:val="22"/>
              </w:rPr>
              <w:t xml:space="preserve">·  Selected as Top Investment Sites</w:t>
            </w:r>
          </w:p>
          <w:p>
            <w:pPr>
              <w:pBdr>
                <w:bottom w:val="single" w:color="C68A17" w:sz="6" w:space="0"/>
              </w:pBdr>
              <w:spacing w:after="100" w:before="100"/>
            </w:pPr>
            <w:r>
              <w:rPr>
                <w:sz w:val="4"/>
                <w:szCs w:val="4"/>
              </w:rPr>
              <w:t xml:space="preserve"/>
            </w:r>
          </w:p>
          <w:p>
            <w:pPr>
              <w:spacing w:after="40" w:before="80" w:line="288" w:lineRule="auto"/>
              <w:jc w:val="center"/>
            </w:pPr>
            <w:r>
              <w:rPr>
                <w:rFonts w:ascii="Calibri" w:cs="Calibri" w:eastAsia="Calibri" w:hAnsi="Calibri"/>
                <w:b w:val="false"/>
                <w:bCs w:val="false"/>
                <w:i w:val="false"/>
                <w:iCs w:val="false"/>
                <w:color w:val="9BB8D4"/>
                <w:sz w:val="18"/>
                <w:szCs w:val="18"/>
              </w:rPr>
              <w:t xml:space="preserve">Monzia Moodie, Regulatory &amp; Policy Systems Analyst  ·  Kadir Farah, Storage Systems &amp; Development Specialist</w:t>
            </w:r>
          </w:p>
          <w:p>
            <w:pPr>
              <w:spacing w:after="100" w:before="0" w:line="288" w:lineRule="auto"/>
              <w:jc w:val="center"/>
            </w:pPr>
            <w:r>
              <w:rPr>
                <w:rFonts w:ascii="Calibri" w:cs="Calibri" w:eastAsia="Calibri" w:hAnsi="Calibri"/>
                <w:b w:val="false"/>
                <w:bCs w:val="false"/>
                <w:i w:val="false"/>
                <w:iCs w:val="false"/>
                <w:color w:val="6B8FA8"/>
                <w:sz w:val="16"/>
                <w:szCs w:val="16"/>
              </w:rPr>
              <w:t xml:space="preserve">Advisor: Marcus Anum  ·  Sponsor: Ledum Nordee  ·  TPS × MassDOER Fellowship  ·  April 2026</w:t>
            </w:r>
          </w:p>
        </w:tc>
      </w:tr>
    </w:tbl>
    <w:p>
      <w:pPr>
        <w:spacing w:after="0" w:before="200"/>
      </w:pPr>
      <w:r>
        <w:rPr>
          <w:sz w:val="2"/>
          <w:szCs w:val="2"/>
        </w:rPr>
        <w:t xml:space="preserve"/>
      </w:r>
    </w:p>
    <w:p>
      <w:pPr>
        <w:pBdr>
          <w:top w:val="single" w:color="0E2040" w:sz="2" w:space="0"/>
          <w:bottom w:val="single" w:color="0E2040" w:sz="10" w:space="0"/>
        </w:pBdr>
        <w:shd w:fill="E8EDF3" w:color="auto" w:val="clear"/>
        <w:spacing w:after="100" w:before="280" w:line="288" w:lineRule="auto"/>
      </w:pPr>
      <w:r>
        <w:rPr>
          <w:rFonts w:ascii="Calibri" w:cs="Calibri" w:eastAsia="Calibri" w:hAnsi="Calibri"/>
          <w:b/>
          <w:bCs/>
          <w:i w:val="false"/>
          <w:iCs w:val="false"/>
          <w:color w:val="0E2040"/>
          <w:sz w:val="28"/>
          <w:szCs w:val="28"/>
        </w:rPr>
        <w:t xml:space="preserve">EXECUTIVE SUMMARY</w:t>
      </w:r>
    </w:p>
    <w:p>
      <w:pPr>
        <w:spacing w:after="80" w:before="40" w:line="288" w:lineRule="auto"/>
        <w:jc w:val="left"/>
      </w:pPr>
      <w:r>
        <w:rPr>
          <w:rFonts w:ascii="Calibri" w:cs="Calibri" w:eastAsia="Calibri" w:hAnsi="Calibri"/>
          <w:b w:val="false"/>
          <w:bCs w:val="false"/>
          <w:i w:val="false"/>
          <w:iCs w:val="false"/>
          <w:color w:val="1A1A2E"/>
          <w:sz w:val="20"/>
          <w:szCs w:val="20"/>
        </w:rPr>
        <w:t xml:space="preserve">This guide is written for private BESS developers considering projects in Massachusetts. It explains how the Next-Generation BESS Siting Tool works, what critical risks it surfaces before site selection, how it compresses the permitting timeline, and why Chelsea and Everett emerged as the two highest-scoring investment sites in Suffolk and Middlesex Counties. The analysis integrates Environmental Justice compliance, grid hosting capacity, zoning law, physical feasibility, and ISO-NE revenue modeling into a single five-layer Multi-Criteria Evaluation framework validated by two real Section 83E Round 1 project selections.</w:t>
      </w:r>
    </w:p>
    <w:tbl>
      <w:tblPr>
        <w:tblW w:type="dxa" w:w="9360"/>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360"/>
        <w:gridCol w:w="9000"/>
      </w:tblGrid>
      <w:tr>
        <w:tc>
          <w:tcPr>
            <w:tcW w:type="dxa" w:w="360"/>
            <w:tcBorders>
              <w:top w:val="none" w:color="FFFFFF" w:sz="0" w:space="0"/>
              <w:left w:val="single" w:color="0D7C7B" w:sz="12" w:space="0"/>
              <w:bottom w:val="none" w:color="FFFFFF" w:sz="0" w:space="0"/>
              <w:right w:val="none" w:color="FFFFFF" w:sz="0" w:space="0"/>
            </w:tcBorders>
            <w:shd w:fill="0D7C7B" w:color="auto" w:val="clear"/>
            <w:tcMar>
              <w:top w:type="dxa" w:w="100"/>
              <w:left w:type="dxa" w:w="0"/>
              <w:bottom w:type="dxa" w:w="100"/>
              <w:right w:type="dxa" w:w="0"/>
            </w:tcMar>
          </w:tcPr>
          <w:p>
            <w:pPr>
              <w:spacing w:after="100" w:before="0" w:line="288" w:lineRule="auto"/>
              <w:jc w:val="left"/>
            </w:pPr>
            <w:r>
              <w:rPr>
                <w:rFonts w:ascii="Calibri" w:cs="Calibri" w:eastAsia="Calibri" w:hAnsi="Calibri"/>
                <w:b w:val="false"/>
                <w:bCs w:val="false"/>
                <w:i w:val="false"/>
                <w:iCs w:val="false"/>
                <w:color w:val="1A1A2E"/>
                <w:sz w:val="4"/>
                <w:szCs w:val="4"/>
              </w:rPr>
              <w:t xml:space="preserve"/>
            </w:r>
          </w:p>
        </w:tc>
        <w:tc>
          <w:tcPr>
            <w:tcW w:type="dxa" w:w="9000"/>
            <w:tcBorders>
              <w:top w:val="single" w:color="AAAAAA" w:sz="1" w:space="0"/>
              <w:left w:val="none" w:color="FFFFFF" w:sz="0" w:space="0"/>
              <w:bottom w:val="single" w:color="AAAAAA" w:sz="1" w:space="0"/>
              <w:right w:val="none" w:color="FFFFFF" w:sz="0" w:space="0"/>
            </w:tcBorders>
            <w:shd w:fill="F0F8F8" w:color="auto" w:val="clear"/>
            <w:tcMar>
              <w:top w:type="dxa" w:w="80"/>
              <w:left w:type="dxa" w:w="200"/>
              <w:bottom w:type="dxa" w:w="80"/>
              <w:right w:type="dxa" w:w="120"/>
            </w:tcMar>
          </w:tcPr>
          <w:p>
            <w:pPr>
              <w:spacing w:after="40" w:before="0" w:line="288" w:lineRule="auto"/>
              <w:jc w:val="left"/>
            </w:pPr>
            <w:r>
              <w:rPr>
                <w:rFonts w:ascii="Calibri" w:cs="Calibri" w:eastAsia="Calibri" w:hAnsi="Calibri"/>
                <w:b/>
                <w:bCs/>
                <w:i w:val="false"/>
                <w:iCs w:val="false"/>
                <w:color w:val="0D7C7B"/>
                <w:sz w:val="17"/>
                <w:szCs w:val="17"/>
              </w:rPr>
              <w:t xml:space="preserve">BOTTOM LINE FOR DEVELOPERS</w:t>
            </w:r>
          </w:p>
          <w:p>
            <w:pPr>
              <w:spacing w:after="100" w:before="0" w:line="288" w:lineRule="auto"/>
              <w:jc w:val="left"/>
            </w:pPr>
            <w:r>
              <w:rPr>
                <w:rFonts w:ascii="Calibri" w:cs="Calibri" w:eastAsia="Calibri" w:hAnsi="Calibri"/>
                <w:b w:val="false"/>
                <w:bCs w:val="false"/>
                <w:i w:val="false"/>
                <w:iCs w:val="false"/>
                <w:color w:val="1A1A2E"/>
                <w:sz w:val="19"/>
                <w:szCs w:val="19"/>
              </w:rPr>
              <w:t xml:space="preserve">Massachusetts projects that do EJ screening, CIA analysis, and hosting capacity review before site acquisition close deals faster, face fewer community objections, and access a deeper incentive stack — including federal ITC up to 70% in EJ brownfield locations. The tool does this work automatically, before you commit capital.</w:t>
            </w:r>
          </w:p>
        </w:tc>
      </w:tr>
    </w:tbl>
    <w:p>
      <w:pPr>
        <w:spacing w:after="0" w:before="80"/>
      </w:pPr>
      <w:r>
        <w:rPr>
          <w:sz w:val="2"/>
          <w:szCs w:val="2"/>
        </w:rPr>
        <w:t xml:space="preserve"/>
      </w:r>
    </w:p>
    <w:p>
      <w:pPr>
        <w:pBdr>
          <w:top w:val="single" w:color="0E2040" w:sz="2" w:space="0"/>
          <w:bottom w:val="single" w:color="0E2040" w:sz="10" w:space="0"/>
        </w:pBdr>
        <w:shd w:fill="E8EDF3" w:color="auto" w:val="clear"/>
        <w:spacing w:after="100" w:before="280" w:line="288" w:lineRule="auto"/>
      </w:pPr>
      <w:r>
        <w:rPr>
          <w:rFonts w:ascii="Calibri" w:cs="Calibri" w:eastAsia="Calibri" w:hAnsi="Calibri"/>
          <w:b/>
          <w:bCs/>
          <w:i w:val="false"/>
          <w:iCs w:val="false"/>
          <w:color w:val="0E2040"/>
          <w:sz w:val="28"/>
          <w:szCs w:val="28"/>
        </w:rPr>
        <w:t xml:space="preserve">1.  WHY BESS PROJECTS FAIL BEFORE THEY START</w:t>
      </w:r>
    </w:p>
    <w:p>
      <w:pPr>
        <w:spacing w:after="80" w:before="40" w:line="288" w:lineRule="auto"/>
        <w:jc w:val="left"/>
      </w:pPr>
      <w:r>
        <w:rPr>
          <w:rFonts w:ascii="Calibri" w:cs="Calibri" w:eastAsia="Calibri" w:hAnsi="Calibri"/>
          <w:b w:val="false"/>
          <w:bCs w:val="false"/>
          <w:i w:val="false"/>
          <w:iCs w:val="false"/>
          <w:color w:val="1A1A2E"/>
          <w:sz w:val="20"/>
          <w:szCs w:val="20"/>
        </w:rPr>
        <w:t xml:space="preserve">Massachusetts has a 5,000 MW storage mandate by July 2030 (Chapter 239, Acts of 2024) — the nation’s most ambitious. Yet only 644 MWh is installed statewide. The buildout gap is not capital or technology. It is siting. Four recurring failure modes drive late-stage cost and delay:</w:t>
      </w:r>
    </w:p>
    <w:tbl>
      <w:tblPr>
        <w:tblW w:type="dxa" w:w="9072"/>
        <w:tblBorders>
          <w:top w:val="single" w:color="CCCCCC" w:sz="1" w:space="0"/>
          <w:left w:val="single" w:color="CCCCCC" w:sz="1" w:space="0"/>
          <w:bottom w:val="single" w:color="CCCCCC" w:sz="1" w:space="0"/>
          <w:right w:val="single" w:color="CCCCCC" w:sz="1" w:space="0"/>
          <w:insideH w:val="single" w:color="auto" w:sz="4"/>
          <w:insideV w:val="single" w:color="auto" w:sz="4"/>
        </w:tblBorders>
      </w:tblPr>
      <w:tblGrid>
        <w:gridCol w:w="3000"/>
        <w:gridCol w:w="3200"/>
        <w:gridCol w:w="2872"/>
      </w:tblGrid>
      <w:tr>
        <w:trPr>
          <w:tblHeader/>
        </w:trPr>
        <w:tc>
          <w:tcPr>
            <w:tcW w:type="dxa" w:w="3000"/>
            <w:tcBorders>
              <w:top w:val="single" w:color="0D7C7B" w:sz="1" w:space="0"/>
              <w:left w:val="single" w:color="0D7C7B" w:sz="1" w:space="0"/>
              <w:bottom w:val="single" w:color="0D7C7B" w:sz="1" w:space="0"/>
              <w:right w:val="single" w:color="0D7C7B" w:sz="1" w:space="0"/>
            </w:tcBorders>
            <w:shd w:fill="0E2040" w:color="auto" w:val="clear"/>
            <w:tcMar>
              <w:top w:type="dxa" w:w="80"/>
              <w:left w:type="dxa" w:w="120"/>
              <w:bottom w:type="dxa" w:w="80"/>
              <w:right w:type="dxa" w:w="80"/>
            </w:tcMar>
          </w:tcPr>
          <w:p>
            <w:pPr>
              <w:spacing w:after="100" w:before="0" w:line="288" w:lineRule="auto"/>
              <w:jc w:val="center"/>
            </w:pPr>
            <w:r>
              <w:rPr>
                <w:rFonts w:ascii="Calibri" w:cs="Calibri" w:eastAsia="Calibri" w:hAnsi="Calibri"/>
                <w:b/>
                <w:bCs/>
                <w:i w:val="false"/>
                <w:iCs w:val="false"/>
                <w:color w:val="FFFFFF"/>
                <w:sz w:val="18"/>
                <w:szCs w:val="18"/>
              </w:rPr>
              <w:t xml:space="preserve">Failure Mode</w:t>
            </w:r>
          </w:p>
        </w:tc>
        <w:tc>
          <w:tcPr>
            <w:tcW w:type="dxa" w:w="3200"/>
            <w:tcBorders>
              <w:top w:val="single" w:color="0D7C7B" w:sz="1" w:space="0"/>
              <w:left w:val="single" w:color="0D7C7B" w:sz="1" w:space="0"/>
              <w:bottom w:val="single" w:color="0D7C7B" w:sz="1" w:space="0"/>
              <w:right w:val="single" w:color="0D7C7B" w:sz="1" w:space="0"/>
            </w:tcBorders>
            <w:shd w:fill="0E2040" w:color="auto" w:val="clear"/>
            <w:tcMar>
              <w:top w:type="dxa" w:w="80"/>
              <w:left w:type="dxa" w:w="120"/>
              <w:bottom w:type="dxa" w:w="80"/>
              <w:right w:type="dxa" w:w="80"/>
            </w:tcMar>
          </w:tcPr>
          <w:p>
            <w:pPr>
              <w:spacing w:after="100" w:before="0" w:line="288" w:lineRule="auto"/>
              <w:jc w:val="center"/>
            </w:pPr>
            <w:r>
              <w:rPr>
                <w:rFonts w:ascii="Calibri" w:cs="Calibri" w:eastAsia="Calibri" w:hAnsi="Calibri"/>
                <w:b/>
                <w:bCs/>
                <w:i w:val="false"/>
                <w:iCs w:val="false"/>
                <w:color w:val="FFFFFF"/>
                <w:sz w:val="18"/>
                <w:szCs w:val="18"/>
              </w:rPr>
              <w:t xml:space="preserve">What Happens</w:t>
            </w:r>
          </w:p>
        </w:tc>
        <w:tc>
          <w:tcPr>
            <w:tcW w:type="dxa" w:w="2872"/>
            <w:tcBorders>
              <w:top w:val="single" w:color="0D7C7B" w:sz="1" w:space="0"/>
              <w:left w:val="single" w:color="0D7C7B" w:sz="1" w:space="0"/>
              <w:bottom w:val="single" w:color="0D7C7B" w:sz="1" w:space="0"/>
              <w:right w:val="single" w:color="0D7C7B" w:sz="1" w:space="0"/>
            </w:tcBorders>
            <w:shd w:fill="0E2040" w:color="auto" w:val="clear"/>
            <w:tcMar>
              <w:top w:type="dxa" w:w="80"/>
              <w:left w:type="dxa" w:w="120"/>
              <w:bottom w:type="dxa" w:w="80"/>
              <w:right w:type="dxa" w:w="80"/>
            </w:tcMar>
          </w:tcPr>
          <w:p>
            <w:pPr>
              <w:spacing w:after="100" w:before="0" w:line="288" w:lineRule="auto"/>
              <w:jc w:val="center"/>
            </w:pPr>
            <w:r>
              <w:rPr>
                <w:rFonts w:ascii="Calibri" w:cs="Calibri" w:eastAsia="Calibri" w:hAnsi="Calibri"/>
                <w:b/>
                <w:bCs/>
                <w:i w:val="false"/>
                <w:iCs w:val="false"/>
                <w:color w:val="FFFFFF"/>
                <w:sz w:val="18"/>
                <w:szCs w:val="18"/>
              </w:rPr>
              <w:t xml:space="preserve">Cost Consequence</w:t>
            </w:r>
          </w:p>
        </w:tc>
      </w:tr>
      <w:tr>
        <w:tc>
          <w:tcPr>
            <w:tcW w:type="dxa" w:w="30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EJ screening done late</w:t>
            </w:r>
          </w:p>
        </w:tc>
        <w:tc>
          <w:tcPr>
            <w:tcW w:type="dxa" w:w="32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Site selected before CIA triggers are checked; redesign required after permitting starts</w:t>
            </w:r>
          </w:p>
        </w:tc>
        <w:tc>
          <w:tcPr>
            <w:tcW w:type="dxa" w:w="2872"/>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6–18 month delays; $500K–$2M in redesign costs</w:t>
            </w:r>
          </w:p>
        </w:tc>
      </w:tr>
      <w:tr>
        <w:tc>
          <w:tcPr>
            <w:tcW w:type="dxa" w:w="30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Setback rules unknown</w:t>
            </w:r>
          </w:p>
        </w:tc>
        <w:tc>
          <w:tcPr>
            <w:tcW w:type="dxa" w:w="32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Battery MW footprint oversized for available buildable area</w:t>
            </w:r>
          </w:p>
        </w:tc>
        <w:tc>
          <w:tcPr>
            <w:tcW w:type="dxa" w:w="2872"/>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MW capacity must be cut; economics re-underwritten</w:t>
            </w:r>
          </w:p>
        </w:tc>
      </w:tr>
      <w:tr>
        <w:tc>
          <w:tcPr>
            <w:tcW w:type="dxa" w:w="30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Revenue not zone-specific</w:t>
            </w:r>
          </w:p>
        </w:tc>
        <w:tc>
          <w:tcPr>
            <w:tcW w:type="dxa" w:w="32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ISO-NE Hub average used; NEMA/SENE premium, CPS multipliers ignored</w:t>
            </w:r>
          </w:p>
        </w:tc>
        <w:tc>
          <w:tcPr>
            <w:tcW w:type="dxa" w:w="2872"/>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IRR understated; may not clear investment committee</w:t>
            </w:r>
          </w:p>
        </w:tc>
      </w:tr>
      <w:tr>
        <w:tc>
          <w:tcPr>
            <w:tcW w:type="dxa" w:w="30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Hosting capacity not checked</w:t>
            </w:r>
          </w:p>
        </w:tc>
        <w:tc>
          <w:tcPr>
            <w:tcW w:type="dxa" w:w="32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Interconnection cost estimated as a placeholder</w:t>
            </w:r>
          </w:p>
        </w:tc>
        <w:tc>
          <w:tcPr>
            <w:tcW w:type="dxa" w:w="2872"/>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Actual upgrade bill (e.g. $4M transformer) kills project return</w:t>
            </w:r>
          </w:p>
        </w:tc>
      </w:tr>
    </w:tbl>
    <w:p>
      <w:pPr>
        <w:spacing w:after="0" w:before="80"/>
      </w:pPr>
      <w:r>
        <w:rPr>
          <w:sz w:val="2"/>
          <w:szCs w:val="2"/>
        </w:rPr>
        <w:t xml:space="preserve"/>
      </w:r>
    </w:p>
    <w:tbl>
      <w:tblPr>
        <w:tblW w:type="dxa" w:w="9360"/>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360"/>
        <w:gridCol w:w="9000"/>
      </w:tblGrid>
      <w:tr>
        <w:tc>
          <w:tcPr>
            <w:tcW w:type="dxa" w:w="360"/>
            <w:tcBorders>
              <w:top w:val="none" w:color="FFFFFF" w:sz="0" w:space="0"/>
              <w:left w:val="single" w:color="A83D28" w:sz="12" w:space="0"/>
              <w:bottom w:val="none" w:color="FFFFFF" w:sz="0" w:space="0"/>
              <w:right w:val="none" w:color="FFFFFF" w:sz="0" w:space="0"/>
            </w:tcBorders>
            <w:shd w:fill="A83D28" w:color="auto" w:val="clear"/>
            <w:tcMar>
              <w:top w:type="dxa" w:w="100"/>
              <w:left w:type="dxa" w:w="0"/>
              <w:bottom w:type="dxa" w:w="100"/>
              <w:right w:type="dxa" w:w="0"/>
            </w:tcMar>
          </w:tcPr>
          <w:p>
            <w:pPr>
              <w:spacing w:after="100" w:before="0" w:line="288" w:lineRule="auto"/>
              <w:jc w:val="left"/>
            </w:pPr>
            <w:r>
              <w:rPr>
                <w:rFonts w:ascii="Calibri" w:cs="Calibri" w:eastAsia="Calibri" w:hAnsi="Calibri"/>
                <w:b w:val="false"/>
                <w:bCs w:val="false"/>
                <w:i w:val="false"/>
                <w:iCs w:val="false"/>
                <w:color w:val="1A1A2E"/>
                <w:sz w:val="4"/>
                <w:szCs w:val="4"/>
              </w:rPr>
              <w:t xml:space="preserve"/>
            </w:r>
          </w:p>
        </w:tc>
        <w:tc>
          <w:tcPr>
            <w:tcW w:type="dxa" w:w="9000"/>
            <w:tcBorders>
              <w:top w:val="single" w:color="AAAAAA" w:sz="1" w:space="0"/>
              <w:left w:val="none" w:color="FFFFFF" w:sz="0" w:space="0"/>
              <w:bottom w:val="single" w:color="AAAAAA" w:sz="1" w:space="0"/>
              <w:right w:val="none" w:color="FFFFFF" w:sz="0" w:space="0"/>
            </w:tcBorders>
            <w:shd w:fill="F0F8F8" w:color="auto" w:val="clear"/>
            <w:tcMar>
              <w:top w:type="dxa" w:w="80"/>
              <w:left w:type="dxa" w:w="200"/>
              <w:bottom w:type="dxa" w:w="80"/>
              <w:right w:type="dxa" w:w="120"/>
            </w:tcMar>
          </w:tcPr>
          <w:p>
            <w:pPr>
              <w:spacing w:after="40" w:before="0" w:line="288" w:lineRule="auto"/>
              <w:jc w:val="left"/>
            </w:pPr>
            <w:r>
              <w:rPr>
                <w:rFonts w:ascii="Calibri" w:cs="Calibri" w:eastAsia="Calibri" w:hAnsi="Calibri"/>
                <w:b/>
                <w:bCs/>
                <w:i w:val="false"/>
                <w:iCs w:val="false"/>
                <w:color w:val="A83D28"/>
                <w:sz w:val="17"/>
                <w:szCs w:val="17"/>
              </w:rPr>
              <w:t xml:space="preserve">KEY REGULATORY RISK — MARCH 2026</w:t>
            </w:r>
          </w:p>
          <w:p>
            <w:pPr>
              <w:spacing w:after="100" w:before="0" w:line="288" w:lineRule="auto"/>
              <w:jc w:val="left"/>
            </w:pPr>
            <w:r>
              <w:rPr>
                <w:rFonts w:ascii="Calibri" w:cs="Calibri" w:eastAsia="Calibri" w:hAnsi="Calibri"/>
                <w:b w:val="false"/>
                <w:bCs w:val="false"/>
                <w:i w:val="false"/>
                <w:iCs w:val="false"/>
                <w:color w:val="1A1A2E"/>
                <w:sz w:val="19"/>
                <w:szCs w:val="19"/>
              </w:rPr>
              <w:t xml:space="preserve">Mandatory Cumulative Impact Analysis (CIA) is now required for all BESS projects in EJ communities before state permitting (980 CMR 15.00, OEJE CIA Standards issued January 23, 2026). All 13 municipalities in the Suffolk + Middlesex study area are EJ-designated. Developers who do not build CIA into their project development timeline will face permitting holds.</w:t>
            </w:r>
          </w:p>
        </w:tc>
      </w:tr>
    </w:tbl>
    <w:p>
      <w:pPr>
        <w:spacing w:after="0" w:before="80"/>
      </w:pPr>
      <w:r>
        <w:rPr>
          <w:sz w:val="2"/>
          <w:szCs w:val="2"/>
        </w:rPr>
        <w:t xml:space="preserve"/>
      </w:r>
    </w:p>
    <w:p>
      <w:pPr>
        <w:pBdr>
          <w:top w:val="single" w:color="0E2040" w:sz="2" w:space="0"/>
          <w:bottom w:val="single" w:color="0E2040" w:sz="10" w:space="0"/>
        </w:pBdr>
        <w:shd w:fill="E8EDF3" w:color="auto" w:val="clear"/>
        <w:spacing w:after="100" w:before="280" w:line="288" w:lineRule="auto"/>
      </w:pPr>
      <w:r>
        <w:rPr>
          <w:rFonts w:ascii="Calibri" w:cs="Calibri" w:eastAsia="Calibri" w:hAnsi="Calibri"/>
          <w:b/>
          <w:bCs/>
          <w:i w:val="false"/>
          <w:iCs w:val="false"/>
          <w:color w:val="0E2040"/>
          <w:sz w:val="28"/>
          <w:szCs w:val="28"/>
        </w:rPr>
        <w:t xml:space="preserve">2.  HOW THE TOOL WORKS: FIVE-LAYER WALKTHROUGH</w:t>
      </w:r>
    </w:p>
    <w:p>
      <w:pPr>
        <w:spacing w:after="100" w:before="40" w:line="288" w:lineRule="auto"/>
        <w:jc w:val="left"/>
      </w:pPr>
      <w:r>
        <w:rPr>
          <w:rFonts w:ascii="Calibri" w:cs="Calibri" w:eastAsia="Calibri" w:hAnsi="Calibri"/>
          <w:b w:val="false"/>
          <w:bCs w:val="false"/>
          <w:i w:val="false"/>
          <w:iCs w:val="false"/>
          <w:color w:val="1A1A2E"/>
          <w:sz w:val="20"/>
          <w:szCs w:val="20"/>
        </w:rPr>
        <w:t xml:space="preserve">The BESS Siting Tool applies a five-layer Multi-Criteria Evaluation (MCE) framework to every candidate municipality in the study area. Each layer scores from 0 to 25 points, producing a maximum composite score of 125. Scores are generated from publicly accessible data sources updated on an ongoing basis — no proprietary data feeds required.</w:t>
      </w:r>
    </w:p>
    <w:p>
      <w:pPr>
        <w:pBdr>
          <w:bottom w:val="single" w:color="A83D28" w:sz="4" w:space="0"/>
        </w:pBdr>
        <w:spacing w:after="80" w:before="200" w:line="288" w:lineRule="auto"/>
      </w:pPr>
      <w:r>
        <w:rPr>
          <w:rFonts w:ascii="Calibri" w:cs="Calibri" w:eastAsia="Calibri" w:hAnsi="Calibri"/>
          <w:b/>
          <w:bCs/>
          <w:i w:val="false"/>
          <w:iCs w:val="false"/>
          <w:color w:val="A83D28"/>
          <w:sz w:val="24"/>
          <w:szCs w:val="24"/>
        </w:rPr>
        <w:t xml:space="preserve">Layer 1: Environmental Justice &amp; Regulatory Compliance</w:t>
      </w:r>
    </w:p>
    <w:p>
      <w:pPr>
        <w:spacing w:after="60" w:before="40" w:line="288" w:lineRule="auto"/>
        <w:jc w:val="left"/>
      </w:pPr>
      <w:r>
        <w:rPr>
          <w:rFonts w:ascii="Calibri" w:cs="Calibri" w:eastAsia="Calibri" w:hAnsi="Calibri"/>
          <w:b w:val="false"/>
          <w:bCs w:val="false"/>
          <w:i w:val="false"/>
          <w:iCs w:val="false"/>
          <w:color w:val="1A1A2E"/>
          <w:sz w:val="20"/>
          <w:szCs w:val="20"/>
        </w:rPr>
        <w:t xml:space="preserve">The tool queries the MassGIS 2020 OEJE EJ Population Layer to flag EJ block group designation status for every parcel in the study area. EJ designation is triggered by any of four statutory criteria: minority population ≥40%, median household income ≥65% of statewide median (~$54,850), ≥25% of households lacking English proficiency, or a combined minority/income criterion. All 13 municipalities in Suffolk and Middlesex Counties are EJ-designated.</w:t>
      </w:r>
    </w:p>
    <w:p>
      <w:pPr>
        <w:spacing w:after="60" w:before="40" w:line="288" w:lineRule="auto"/>
        <w:jc w:val="left"/>
      </w:pPr>
      <w:r>
        <w:rPr>
          <w:rFonts w:ascii="Calibri" w:cs="Calibri" w:eastAsia="Calibri" w:hAnsi="Calibri"/>
          <w:b w:val="false"/>
          <w:bCs w:val="false"/>
          <w:i w:val="false"/>
          <w:iCs w:val="false"/>
          <w:color w:val="1A1A2E"/>
          <w:sz w:val="20"/>
          <w:szCs w:val="20"/>
        </w:rPr>
        <w:t xml:space="preserve">The CIA layer then applies the 33-indicator framework across three categories: pollution burden (PM2.5, diesel, traffic, toxic sites), health outcomes (asthma, cardiovascular disease, life expectancy), and socioeconomic factors (poverty, linguistic isolation, housing burden). The tool flags CIA severity as Very High, High, Moderate, or Low — and generates the compliance documentation framework developers will need for EFSB and local permitting.</w:t>
      </w:r>
    </w:p>
    <w:p>
      <w:pPr>
        <w:pStyle w:val="ListParagraph"/>
        <w:numPr>
          <w:ilvl w:val="0"/>
          <w:numId w:val="2"/>
        </w:numPr>
        <w:spacing w:after="50" w:before="50" w:line="272" w:lineRule="auto"/>
      </w:pPr>
      <w:r>
        <w:rPr>
          <w:rFonts w:ascii="Calibri" w:cs="Calibri" w:eastAsia="Calibri" w:hAnsi="Calibri"/>
          <w:b w:val="false"/>
          <w:bCs w:val="false"/>
          <w:i w:val="false"/>
          <w:iCs w:val="false"/>
          <w:color w:val="6B7C8D"/>
          <w:sz w:val="20"/>
          <w:szCs w:val="20"/>
        </w:rPr>
        <w:t xml:space="preserve">OEJE MassGIS 2020 EJ Population Layer (Census 2020 + ACS 2016–20 five-year)</w:t>
      </w:r>
    </w:p>
    <w:p>
      <w:pPr>
        <w:pStyle w:val="ListParagraph"/>
        <w:numPr>
          <w:ilvl w:val="0"/>
          <w:numId w:val="2"/>
        </w:numPr>
        <w:spacing w:after="50" w:before="50" w:line="272" w:lineRule="auto"/>
      </w:pPr>
      <w:r>
        <w:rPr>
          <w:rFonts w:ascii="Calibri" w:cs="Calibri" w:eastAsia="Calibri" w:hAnsi="Calibri"/>
          <w:b w:val="false"/>
          <w:bCs w:val="false"/>
          <w:i w:val="false"/>
          <w:iCs w:val="false"/>
          <w:color w:val="6B7C8D"/>
          <w:sz w:val="20"/>
          <w:szCs w:val="20"/>
        </w:rPr>
        <w:t xml:space="preserve">Massachusetts CIA Standards &amp; Guidelines (OEJE, issued January 23, 2026; 980 CMR 15.00)</w:t>
      </w:r>
    </w:p>
    <w:p>
      <w:pPr>
        <w:pStyle w:val="ListParagraph"/>
        <w:numPr>
          <w:ilvl w:val="0"/>
          <w:numId w:val="2"/>
        </w:numPr>
        <w:spacing w:after="50" w:before="50" w:line="272" w:lineRule="auto"/>
      </w:pPr>
      <w:r>
        <w:rPr>
          <w:rFonts w:ascii="Calibri" w:cs="Calibri" w:eastAsia="Calibri" w:hAnsi="Calibri"/>
          <w:b w:val="false"/>
          <w:bCs w:val="false"/>
          <w:i w:val="false"/>
          <w:iCs w:val="false"/>
          <w:color w:val="6B7C8D"/>
          <w:sz w:val="20"/>
          <w:szCs w:val="20"/>
        </w:rPr>
        <w:t xml:space="preserve">EPA EJScreen national cumulative impact data (supplementary)</w:t>
      </w:r>
    </w:p>
    <w:p>
      <w:pPr>
        <w:pStyle w:val="ListParagraph"/>
        <w:numPr>
          <w:ilvl w:val="0"/>
          <w:numId w:val="2"/>
        </w:numPr>
        <w:spacing w:after="50" w:before="50" w:line="272" w:lineRule="auto"/>
      </w:pPr>
      <w:r>
        <w:rPr>
          <w:rFonts w:ascii="Calibri" w:cs="Calibri" w:eastAsia="Calibri" w:hAnsi="Calibri"/>
          <w:b w:val="false"/>
          <w:bCs w:val="false"/>
          <w:i w:val="false"/>
          <w:iCs w:val="false"/>
          <w:color w:val="6B7C8D"/>
          <w:sz w:val="20"/>
          <w:szCs w:val="20"/>
        </w:rPr>
        <w:t xml:space="preserve">MA DPH health burden data by census tract (asthma, PM2.5, cardiovascular)</w:t>
      </w:r>
    </w:p>
    <w:p>
      <w:pPr>
        <w:pStyle w:val="ListParagraph"/>
        <w:numPr>
          <w:ilvl w:val="0"/>
          <w:numId w:val="2"/>
        </w:numPr>
        <w:spacing w:after="50" w:before="50" w:line="272" w:lineRule="auto"/>
      </w:pPr>
      <w:r>
        <w:rPr>
          <w:rFonts w:ascii="Calibri" w:cs="Calibri" w:eastAsia="Calibri" w:hAnsi="Calibri"/>
          <w:b w:val="false"/>
          <w:bCs w:val="false"/>
          <w:i w:val="false"/>
          <w:iCs w:val="false"/>
          <w:color w:val="6B7C8D"/>
          <w:sz w:val="20"/>
          <w:szCs w:val="20"/>
        </w:rPr>
        <w:t xml:space="preserve">DOE LEAD Tool for energy burden (% household income spent on energy)</w:t>
      </w:r>
    </w:p>
    <w:p>
      <w:pPr>
        <w:spacing w:after="0" w:before="80"/>
      </w:pPr>
      <w:r>
        <w:rPr>
          <w:sz w:val="2"/>
          <w:szCs w:val="2"/>
        </w:rPr>
        <w:t xml:space="preserve"/>
      </w:r>
    </w:p>
    <w:p>
      <w:pPr>
        <w:pBdr>
          <w:bottom w:val="single" w:color="0D7C7B" w:sz="4" w:space="0"/>
        </w:pBdr>
        <w:spacing w:after="80" w:before="200" w:line="288" w:lineRule="auto"/>
      </w:pPr>
      <w:r>
        <w:rPr>
          <w:rFonts w:ascii="Calibri" w:cs="Calibri" w:eastAsia="Calibri" w:hAnsi="Calibri"/>
          <w:b/>
          <w:bCs/>
          <w:i w:val="false"/>
          <w:iCs w:val="false"/>
          <w:color w:val="0D7C7B"/>
          <w:sz w:val="24"/>
          <w:szCs w:val="24"/>
        </w:rPr>
        <w:t xml:space="preserve">Layer 2: Grid Feasibility &amp; Hosting Capacity</w:t>
      </w:r>
    </w:p>
    <w:p>
      <w:pPr>
        <w:spacing w:after="60" w:before="40" w:line="288" w:lineRule="auto"/>
        <w:jc w:val="left"/>
      </w:pPr>
      <w:r>
        <w:rPr>
          <w:rFonts w:ascii="Calibri" w:cs="Calibri" w:eastAsia="Calibri" w:hAnsi="Calibri"/>
          <w:b w:val="false"/>
          <w:bCs w:val="false"/>
          <w:i w:val="false"/>
          <w:iCs w:val="false"/>
          <w:color w:val="1A1A2E"/>
          <w:sz w:val="20"/>
          <w:szCs w:val="20"/>
        </w:rPr>
        <w:t xml:space="preserve">The tool pulls hosting capacity data from Eversource’s Massachusetts Hosting Capacity Map (powered by envelio’s Grid Connection Navigator, launched December 2025), the National Grid Massachusetts System Data Portal (Middlesex County coverage), and the ORNL OpenEnergyHub bulk dataset for Eversource’s Eastern Massachusetts territory. Each municipality receives a hosting capacity rating (Very High, High, Medium, Low) and an interconnection risk level (Very Low, Low, Medium, High, Very High).</w:t>
      </w:r>
    </w:p>
    <w:p>
      <w:pPr>
        <w:spacing w:after="60" w:before="40" w:line="288" w:lineRule="auto"/>
        <w:jc w:val="left"/>
      </w:pPr>
      <w:r>
        <w:rPr>
          <w:rFonts w:ascii="Calibri" w:cs="Calibri" w:eastAsia="Calibri" w:hAnsi="Calibri"/>
          <w:b w:val="false"/>
          <w:bCs w:val="false"/>
          <w:i w:val="false"/>
          <w:iCs w:val="false"/>
          <w:color w:val="1A1A2E"/>
          <w:sz w:val="20"/>
          <w:szCs w:val="20"/>
        </w:rPr>
        <w:t xml:space="preserve">Interconnection cost ranges are estimated using Eversource’s published DER Project Costs schedule: overhead point of interconnection ($400K), underground POI above 500 kW ($650K), new transformer upgrade ($4M), conductor reconductoring ($1.0–1.3M/mile), underground cable replacement ($1.9–9.5M/mile). The tool also pulls ISO-NE interconnection queue statistics to flag cluster study participation and median cost benchmarks from LBNL ($148/kW median; $230/kW mean for storage, 2018–21 studies).</w:t>
      </w:r>
    </w:p>
    <w:tbl>
      <w:tblPr>
        <w:tblW w:type="dxa" w:w="9360"/>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360"/>
        <w:gridCol w:w="9000"/>
      </w:tblGrid>
      <w:tr>
        <w:tc>
          <w:tcPr>
            <w:tcW w:type="dxa" w:w="360"/>
            <w:tcBorders>
              <w:top w:val="none" w:color="FFFFFF" w:sz="0" w:space="0"/>
              <w:left w:val="single" w:color="0D7C7B" w:sz="12" w:space="0"/>
              <w:bottom w:val="none" w:color="FFFFFF" w:sz="0" w:space="0"/>
              <w:right w:val="none" w:color="FFFFFF" w:sz="0" w:space="0"/>
            </w:tcBorders>
            <w:shd w:fill="0D7C7B" w:color="auto" w:val="clear"/>
            <w:tcMar>
              <w:top w:type="dxa" w:w="100"/>
              <w:left w:type="dxa" w:w="0"/>
              <w:bottom w:type="dxa" w:w="100"/>
              <w:right w:type="dxa" w:w="0"/>
            </w:tcMar>
          </w:tcPr>
          <w:p>
            <w:pPr>
              <w:spacing w:after="100" w:before="0" w:line="288" w:lineRule="auto"/>
              <w:jc w:val="left"/>
            </w:pPr>
            <w:r>
              <w:rPr>
                <w:rFonts w:ascii="Calibri" w:cs="Calibri" w:eastAsia="Calibri" w:hAnsi="Calibri"/>
                <w:b w:val="false"/>
                <w:bCs w:val="false"/>
                <w:i w:val="false"/>
                <w:iCs w:val="false"/>
                <w:color w:val="1A1A2E"/>
                <w:sz w:val="4"/>
                <w:szCs w:val="4"/>
              </w:rPr>
              <w:t xml:space="preserve"/>
            </w:r>
          </w:p>
        </w:tc>
        <w:tc>
          <w:tcPr>
            <w:tcW w:type="dxa" w:w="9000"/>
            <w:tcBorders>
              <w:top w:val="single" w:color="AAAAAA" w:sz="1" w:space="0"/>
              <w:left w:val="none" w:color="FFFFFF" w:sz="0" w:space="0"/>
              <w:bottom w:val="single" w:color="AAAAAA" w:sz="1" w:space="0"/>
              <w:right w:val="none" w:color="FFFFFF" w:sz="0" w:space="0"/>
            </w:tcBorders>
            <w:shd w:fill="F0F8F8" w:color="auto" w:val="clear"/>
            <w:tcMar>
              <w:top w:type="dxa" w:w="80"/>
              <w:left w:type="dxa" w:w="200"/>
              <w:bottom w:type="dxa" w:w="80"/>
              <w:right w:type="dxa" w:w="120"/>
            </w:tcMar>
          </w:tcPr>
          <w:p>
            <w:pPr>
              <w:spacing w:after="40" w:before="0" w:line="288" w:lineRule="auto"/>
              <w:jc w:val="left"/>
            </w:pPr>
            <w:r>
              <w:rPr>
                <w:rFonts w:ascii="Calibri" w:cs="Calibri" w:eastAsia="Calibri" w:hAnsi="Calibri"/>
                <w:b/>
                <w:bCs/>
                <w:i w:val="false"/>
                <w:iCs w:val="false"/>
                <w:color w:val="0D7C7B"/>
                <w:sz w:val="17"/>
                <w:szCs w:val="17"/>
              </w:rPr>
              <w:t xml:space="preserve">DEVELOPER TIP: Substation Proximity Drives Everything</w:t>
            </w:r>
          </w:p>
          <w:p>
            <w:pPr>
              <w:spacing w:after="100" w:before="0" w:line="288" w:lineRule="auto"/>
              <w:jc w:val="left"/>
            </w:pPr>
            <w:r>
              <w:rPr>
                <w:rFonts w:ascii="Calibri" w:cs="Calibri" w:eastAsia="Calibri" w:hAnsi="Calibri"/>
                <w:b w:val="false"/>
                <w:bCs w:val="false"/>
                <w:i w:val="false"/>
                <w:iCs w:val="false"/>
                <w:color w:val="1A1A2E"/>
                <w:sz w:val="19"/>
                <w:szCs w:val="19"/>
              </w:rPr>
              <w:t xml:space="preserve">Both Chelsea (250 MW Energizar, 0.4 mi to Chelsea substation) and Everett (700 MW Trimount, 0.2 mi to Mystic 345 kV) demonstrate that the highest-scoring BESS sites in Massachusetts sit within half a mile of a major substation on an industrial brownfield. This pattern repeats in every Massachusetts county and should be the first filter in any site search.</w:t>
            </w:r>
          </w:p>
        </w:tc>
      </w:tr>
    </w:tbl>
    <w:p>
      <w:pPr>
        <w:spacing w:after="0" w:before="80"/>
      </w:pPr>
      <w:r>
        <w:rPr>
          <w:sz w:val="2"/>
          <w:szCs w:val="2"/>
        </w:rPr>
        <w:t xml:space="preserve"/>
      </w:r>
    </w:p>
    <w:p>
      <w:pPr>
        <w:pBdr>
          <w:bottom w:val="single" w:color="3A5278" w:sz="4" w:space="0"/>
        </w:pBdr>
        <w:spacing w:after="80" w:before="200" w:line="288" w:lineRule="auto"/>
      </w:pPr>
      <w:r>
        <w:rPr>
          <w:rFonts w:ascii="Calibri" w:cs="Calibri" w:eastAsia="Calibri" w:hAnsi="Calibri"/>
          <w:b/>
          <w:bCs/>
          <w:i w:val="false"/>
          <w:iCs w:val="false"/>
          <w:color w:val="3A5278"/>
          <w:sz w:val="24"/>
          <w:szCs w:val="24"/>
        </w:rPr>
        <w:t xml:space="preserve">Layer 3: Zoning, Permitting &amp; Legal Framework</w:t>
      </w:r>
    </w:p>
    <w:p>
      <w:pPr>
        <w:spacing w:after="60" w:before="40" w:line="288" w:lineRule="auto"/>
        <w:jc w:val="left"/>
      </w:pPr>
      <w:r>
        <w:rPr>
          <w:rFonts w:ascii="Calibri" w:cs="Calibri" w:eastAsia="Calibri" w:hAnsi="Calibri"/>
          <w:b w:val="false"/>
          <w:bCs w:val="false"/>
          <w:i w:val="false"/>
          <w:iCs w:val="false"/>
          <w:color w:val="1A1A2E"/>
          <w:sz w:val="20"/>
          <w:szCs w:val="20"/>
        </w:rPr>
        <w:t xml:space="preserve">The tool applies the DOER Model BESS Bylaw three-tier framework to determine the permitting path for each candidate site: Tier 1 (&lt;250 kWh) is by-right in all zones; Tier 2 (250 kWh–10 MWh) is by-right in industrial zones; Tier 3 (10–100 MWh) requires site plan review in industrial zones and special permits in commercial/residential zones. For projects ≥100 MWh, EFSB sole jurisdiction applies effective July 1, 2026 — a consolidated 15-month permit replacing all local, state, and regional approvals, with mandatory auto-approval if the deadline is missed.</w:t>
      </w:r>
    </w:p>
    <w:p>
      <w:pPr>
        <w:spacing w:after="60" w:before="40" w:line="288" w:lineRule="auto"/>
        <w:jc w:val="left"/>
      </w:pPr>
      <w:r>
        <w:rPr>
          <w:rFonts w:ascii="Calibri" w:cs="Calibri" w:eastAsia="Calibri" w:hAnsi="Calibri"/>
          <w:b w:val="false"/>
          <w:bCs w:val="false"/>
          <w:i w:val="false"/>
          <w:iCs w:val="false"/>
          <w:color w:val="1A1A2E"/>
          <w:sz w:val="20"/>
          <w:szCs w:val="20"/>
        </w:rPr>
        <w:t xml:space="preserve">Critical legal protections are documented in the tool: the Dover Amendment (M.G.L. c.40A §3) protects standalone BESS from arbitrary municipal prohibition, upheld in Duxbury Energy Storage v. Town of Duxbury ZBA (MA Land Court, June 2025). The Massachusetts Attorney General has rejected every municipal BESS moratorium submitted: Carver (2022), Wendell (2022–2025), Shutesbury (2024), Sherborn (2024), and Blandford (2026). Neither Suffolk County nor Middlesex County contains a single BESS moratorium or ban.</w:t>
      </w:r>
    </w:p>
    <w:p>
      <w:pPr>
        <w:spacing w:after="0" w:before="80"/>
      </w:pPr>
      <w:r>
        <w:rPr>
          <w:sz w:val="2"/>
          <w:szCs w:val="2"/>
        </w:rPr>
        <w:t xml:space="preserve"/>
      </w:r>
    </w:p>
    <w:p>
      <w:pPr>
        <w:pBdr>
          <w:bottom w:val="single" w:color="2A6145" w:sz="4" w:space="0"/>
        </w:pBdr>
        <w:spacing w:after="80" w:before="200" w:line="288" w:lineRule="auto"/>
      </w:pPr>
      <w:r>
        <w:rPr>
          <w:rFonts w:ascii="Calibri" w:cs="Calibri" w:eastAsia="Calibri" w:hAnsi="Calibri"/>
          <w:b/>
          <w:bCs/>
          <w:i w:val="false"/>
          <w:iCs w:val="false"/>
          <w:color w:val="2A6145"/>
          <w:sz w:val="24"/>
          <w:szCs w:val="24"/>
        </w:rPr>
        <w:t xml:space="preserve">Layer 4: Physical Feasibility &amp; Site Characteristics</w:t>
      </w:r>
    </w:p>
    <w:p>
      <w:pPr>
        <w:spacing w:after="60" w:before="40" w:line="288" w:lineRule="auto"/>
        <w:jc w:val="left"/>
      </w:pPr>
      <w:r>
        <w:rPr>
          <w:rFonts w:ascii="Calibri" w:cs="Calibri" w:eastAsia="Calibri" w:hAnsi="Calibri"/>
          <w:b w:val="false"/>
          <w:bCs w:val="false"/>
          <w:i w:val="false"/>
          <w:iCs w:val="false"/>
          <w:color w:val="1A1A2E"/>
          <w:sz w:val="20"/>
          <w:szCs w:val="20"/>
        </w:rPr>
        <w:t xml:space="preserve">The physical feasibility layer estimates maximum BESS capacity (MW) for available parcels using net buildable area after setbacks, power density factors (kW/sq ft for containerized LFP systems), and duration coefficients. Industrial brownfield sites receive scoring bonuses reflecting reduced environmental review burden, established infrastructure access, and eligibility for the federal energy community ITC bonus.</w:t>
      </w:r>
    </w:p>
    <w:p>
      <w:pPr>
        <w:spacing w:after="60" w:before="40" w:line="288" w:lineRule="auto"/>
        <w:jc w:val="left"/>
      </w:pPr>
      <w:r>
        <w:rPr>
          <w:rFonts w:ascii="Calibri" w:cs="Calibri" w:eastAsia="Calibri" w:hAnsi="Calibri"/>
          <w:b w:val="false"/>
          <w:bCs w:val="false"/>
          <w:i w:val="false"/>
          <w:iCs w:val="false"/>
          <w:color w:val="1A1A2E"/>
          <w:sz w:val="20"/>
          <w:szCs w:val="20"/>
        </w:rPr>
        <w:t xml:space="preserve">Setback requirements vary by municipality and zoning class — from 50 ft in Chelsea and Everett industrial zones to 100 ft in Winthrop residential zones. Brownfield status is a key accelerant: both top-scoring sites (Everett’s former ExxonMobil terminal and Chelsea’s former commercial site) cleared environmental baseline reviews faster than greenfield alternatives and qualified for additional federal tax credit incentives.</w:t>
      </w:r>
    </w:p>
    <w:p>
      <w:pPr>
        <w:spacing w:after="0" w:before="80"/>
      </w:pPr>
      <w:r>
        <w:rPr>
          <w:sz w:val="2"/>
          <w:szCs w:val="2"/>
        </w:rPr>
        <w:t xml:space="preserve"/>
      </w:r>
    </w:p>
    <w:p>
      <w:pPr>
        <w:pBdr>
          <w:bottom w:val="single" w:color="C68A17" w:sz="4" w:space="0"/>
        </w:pBdr>
        <w:spacing w:after="80" w:before="200" w:line="288" w:lineRule="auto"/>
      </w:pPr>
      <w:r>
        <w:rPr>
          <w:rFonts w:ascii="Calibri" w:cs="Calibri" w:eastAsia="Calibri" w:hAnsi="Calibri"/>
          <w:b/>
          <w:bCs/>
          <w:i w:val="false"/>
          <w:iCs w:val="false"/>
          <w:color w:val="C68A17"/>
          <w:sz w:val="24"/>
          <w:szCs w:val="24"/>
        </w:rPr>
        <w:t xml:space="preserve">Layer 5: Revenue Modeling &amp; Market Economics</w:t>
      </w:r>
    </w:p>
    <w:p>
      <w:pPr>
        <w:spacing w:after="100" w:before="40" w:line="288" w:lineRule="auto"/>
        <w:jc w:val="left"/>
      </w:pPr>
      <w:r>
        <w:rPr>
          <w:rFonts w:ascii="Calibri" w:cs="Calibri" w:eastAsia="Calibri" w:hAnsi="Calibri"/>
          <w:b w:val="false"/>
          <w:bCs w:val="false"/>
          <w:i w:val="false"/>
          <w:iCs w:val="false"/>
          <w:color w:val="1A1A2E"/>
          <w:sz w:val="20"/>
          <w:szCs w:val="20"/>
        </w:rPr>
        <w:t xml:space="preserve">The revenue layer models a complete ISO-NE market stack for each candidate municipality, using the specific load zone (NEMA or SENE) and available market products. This is the layer most commonly under-modeled by developers using Hub averages — the NEMA/SENE zone premium alone adds 1.0–1.5% above Hub prices, and the Forward Capacity Market SENE zone separation (FCA 15: $3.98/kW-month vs. $2.61 rest-of-pool, a 52% premium) is worth an additional $16–$18/kW-year in constrained auction years.</w:t>
      </w:r>
    </w:p>
    <w:tbl>
      <w:tblPr>
        <w:tblW w:type="dxa" w:w="9072"/>
        <w:tblBorders>
          <w:top w:val="single" w:color="CCCCCC" w:sz="1" w:space="0"/>
          <w:left w:val="single" w:color="CCCCCC" w:sz="1" w:space="0"/>
          <w:bottom w:val="single" w:color="CCCCCC" w:sz="1" w:space="0"/>
          <w:right w:val="single" w:color="CCCCCC" w:sz="1" w:space="0"/>
          <w:insideH w:val="single" w:color="auto" w:sz="4"/>
          <w:insideV w:val="single" w:color="auto" w:sz="4"/>
        </w:tblBorders>
      </w:tblPr>
      <w:tblGrid>
        <w:gridCol w:w="3000"/>
        <w:gridCol w:w="1500"/>
        <w:gridCol w:w="1500"/>
        <w:gridCol w:w="3072"/>
      </w:tblGrid>
      <w:tr>
        <w:trPr>
          <w:tblHeader/>
        </w:trPr>
        <w:tc>
          <w:tcPr>
            <w:tcW w:type="dxa" w:w="3000"/>
            <w:tcBorders>
              <w:top w:val="single" w:color="0D7C7B" w:sz="1" w:space="0"/>
              <w:left w:val="single" w:color="0D7C7B" w:sz="1" w:space="0"/>
              <w:bottom w:val="single" w:color="0D7C7B" w:sz="1" w:space="0"/>
              <w:right w:val="single" w:color="0D7C7B" w:sz="1" w:space="0"/>
            </w:tcBorders>
            <w:shd w:fill="0E2040" w:color="auto" w:val="clear"/>
            <w:tcMar>
              <w:top w:type="dxa" w:w="80"/>
              <w:left w:type="dxa" w:w="120"/>
              <w:bottom w:type="dxa" w:w="80"/>
              <w:right w:type="dxa" w:w="80"/>
            </w:tcMar>
          </w:tcPr>
          <w:p>
            <w:pPr>
              <w:spacing w:after="100" w:before="0" w:line="288" w:lineRule="auto"/>
              <w:jc w:val="center"/>
            </w:pPr>
            <w:r>
              <w:rPr>
                <w:rFonts w:ascii="Calibri" w:cs="Calibri" w:eastAsia="Calibri" w:hAnsi="Calibri"/>
                <w:b/>
                <w:bCs/>
                <w:i w:val="false"/>
                <w:iCs w:val="false"/>
                <w:color w:val="FFFFFF"/>
                <w:sz w:val="18"/>
                <w:szCs w:val="18"/>
              </w:rPr>
              <w:t xml:space="preserve">Revenue Stream</w:t>
            </w:r>
          </w:p>
        </w:tc>
        <w:tc>
          <w:tcPr>
            <w:tcW w:type="dxa" w:w="1500"/>
            <w:tcBorders>
              <w:top w:val="single" w:color="0D7C7B" w:sz="1" w:space="0"/>
              <w:left w:val="single" w:color="0D7C7B" w:sz="1" w:space="0"/>
              <w:bottom w:val="single" w:color="0D7C7B" w:sz="1" w:space="0"/>
              <w:right w:val="single" w:color="0D7C7B" w:sz="1" w:space="0"/>
            </w:tcBorders>
            <w:shd w:fill="0E2040" w:color="auto" w:val="clear"/>
            <w:tcMar>
              <w:top w:type="dxa" w:w="80"/>
              <w:left w:type="dxa" w:w="120"/>
              <w:bottom w:type="dxa" w:w="80"/>
              <w:right w:type="dxa" w:w="80"/>
            </w:tcMar>
          </w:tcPr>
          <w:p>
            <w:pPr>
              <w:spacing w:after="100" w:before="0" w:line="288" w:lineRule="auto"/>
              <w:jc w:val="center"/>
            </w:pPr>
            <w:r>
              <w:rPr>
                <w:rFonts w:ascii="Calibri" w:cs="Calibri" w:eastAsia="Calibri" w:hAnsi="Calibri"/>
                <w:b/>
                <w:bCs/>
                <w:i w:val="false"/>
                <w:iCs w:val="false"/>
                <w:color w:val="FFFFFF"/>
                <w:sz w:val="18"/>
                <w:szCs w:val="18"/>
              </w:rPr>
              <w:t xml:space="preserve">Low ($/kW-yr)</w:t>
            </w:r>
          </w:p>
        </w:tc>
        <w:tc>
          <w:tcPr>
            <w:tcW w:type="dxa" w:w="1500"/>
            <w:tcBorders>
              <w:top w:val="single" w:color="0D7C7B" w:sz="1" w:space="0"/>
              <w:left w:val="single" w:color="0D7C7B" w:sz="1" w:space="0"/>
              <w:bottom w:val="single" w:color="0D7C7B" w:sz="1" w:space="0"/>
              <w:right w:val="single" w:color="0D7C7B" w:sz="1" w:space="0"/>
            </w:tcBorders>
            <w:shd w:fill="0E2040" w:color="auto" w:val="clear"/>
            <w:tcMar>
              <w:top w:type="dxa" w:w="80"/>
              <w:left w:type="dxa" w:w="120"/>
              <w:bottom w:type="dxa" w:w="80"/>
              <w:right w:type="dxa" w:w="80"/>
            </w:tcMar>
          </w:tcPr>
          <w:p>
            <w:pPr>
              <w:spacing w:after="100" w:before="0" w:line="288" w:lineRule="auto"/>
              <w:jc w:val="center"/>
            </w:pPr>
            <w:r>
              <w:rPr>
                <w:rFonts w:ascii="Calibri" w:cs="Calibri" w:eastAsia="Calibri" w:hAnsi="Calibri"/>
                <w:b/>
                <w:bCs/>
                <w:i w:val="false"/>
                <w:iCs w:val="false"/>
                <w:color w:val="FFFFFF"/>
                <w:sz w:val="18"/>
                <w:szCs w:val="18"/>
              </w:rPr>
              <w:t xml:space="preserve">High ($/kW-yr)</w:t>
            </w:r>
          </w:p>
        </w:tc>
        <w:tc>
          <w:tcPr>
            <w:tcW w:type="dxa" w:w="3072"/>
            <w:tcBorders>
              <w:top w:val="single" w:color="0D7C7B" w:sz="1" w:space="0"/>
              <w:left w:val="single" w:color="0D7C7B" w:sz="1" w:space="0"/>
              <w:bottom w:val="single" w:color="0D7C7B" w:sz="1" w:space="0"/>
              <w:right w:val="single" w:color="0D7C7B" w:sz="1" w:space="0"/>
            </w:tcBorders>
            <w:shd w:fill="0E2040" w:color="auto" w:val="clear"/>
            <w:tcMar>
              <w:top w:type="dxa" w:w="80"/>
              <w:left w:type="dxa" w:w="120"/>
              <w:bottom w:type="dxa" w:w="80"/>
              <w:right w:type="dxa" w:w="80"/>
            </w:tcMar>
          </w:tcPr>
          <w:p>
            <w:pPr>
              <w:spacing w:after="100" w:before="0" w:line="288" w:lineRule="auto"/>
              <w:jc w:val="center"/>
            </w:pPr>
            <w:r>
              <w:rPr>
                <w:rFonts w:ascii="Calibri" w:cs="Calibri" w:eastAsia="Calibri" w:hAnsi="Calibri"/>
                <w:b/>
                <w:bCs/>
                <w:i w:val="false"/>
                <w:iCs w:val="false"/>
                <w:color w:val="FFFFFF"/>
                <w:sz w:val="18"/>
                <w:szCs w:val="18"/>
              </w:rPr>
              <w:t xml:space="preserve">Key Driver</w:t>
            </w:r>
          </w:p>
        </w:tc>
      </w:tr>
      <w:tr>
        <w:tc>
          <w:tcPr>
            <w:tcW w:type="dxa" w:w="30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Energy Arbitrage (LMP spread)</w:t>
            </w:r>
          </w:p>
        </w:tc>
        <w:tc>
          <w:tcPr>
            <w:tcW w:type="dxa" w:w="15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$40</w:t>
            </w:r>
          </w:p>
        </w:tc>
        <w:tc>
          <w:tcPr>
            <w:tcW w:type="dxa" w:w="15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$80</w:t>
            </w:r>
          </w:p>
        </w:tc>
        <w:tc>
          <w:tcPr>
            <w:tcW w:type="dxa" w:w="3072"/>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NEMA DA LMP: $42.09/MWh avg (2024); summer 2025 peak $53.31/MWh</w:t>
            </w:r>
          </w:p>
        </w:tc>
      </w:tr>
      <w:tr>
        <w:tc>
          <w:tcPr>
            <w:tcW w:type="dxa" w:w="30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Forward Capacity Market (FCM)</w:t>
            </w:r>
          </w:p>
        </w:tc>
        <w:tc>
          <w:tcPr>
            <w:tcW w:type="dxa" w:w="15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$31</w:t>
            </w:r>
          </w:p>
        </w:tc>
        <w:tc>
          <w:tcPr>
            <w:tcW w:type="dxa" w:w="15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$48</w:t>
            </w:r>
          </w:p>
        </w:tc>
        <w:tc>
          <w:tcPr>
            <w:tcW w:type="dxa" w:w="3072"/>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SENE zone; FCA 18: $3.58/kW-mo; FCA 15 SENE was $3.98/kW-mo</w:t>
            </w:r>
          </w:p>
        </w:tc>
      </w:tr>
      <w:tr>
        <w:tc>
          <w:tcPr>
            <w:tcW w:type="dxa" w:w="30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Clean Peak Energy Certificates</w:t>
            </w:r>
          </w:p>
        </w:tc>
        <w:tc>
          <w:tcPr>
            <w:tcW w:type="dxa" w:w="15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$15</w:t>
            </w:r>
          </w:p>
        </w:tc>
        <w:tc>
          <w:tcPr>
            <w:tcW w:type="dxa" w:w="15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$65</w:t>
            </w:r>
          </w:p>
        </w:tc>
        <w:tc>
          <w:tcPr>
            <w:tcW w:type="dxa" w:w="3072"/>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ACP $65/MWh (2026–2032); multipliers up to 25× at monthly system peak</w:t>
            </w:r>
          </w:p>
        </w:tc>
      </w:tr>
      <w:tr>
        <w:tc>
          <w:tcPr>
            <w:tcW w:type="dxa" w:w="30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Ancillary Services</w:t>
            </w:r>
          </w:p>
        </w:tc>
        <w:tc>
          <w:tcPr>
            <w:tcW w:type="dxa" w:w="15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$2</w:t>
            </w:r>
          </w:p>
        </w:tc>
        <w:tc>
          <w:tcPr>
            <w:tcW w:type="dxa" w:w="15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$10</w:t>
            </w:r>
          </w:p>
        </w:tc>
        <w:tc>
          <w:tcPr>
            <w:tcW w:type="dxa" w:w="3072"/>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RegD/RegC regulation market; ISO-NE Pay-for-Performance &gt;$9,300/MWh</w:t>
            </w:r>
          </w:p>
        </w:tc>
      </w:tr>
      <w:tr>
        <w:tc>
          <w:tcPr>
            <w:tcW w:type="dxa" w:w="30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SMART Storage Adder</w:t>
            </w:r>
          </w:p>
        </w:tc>
        <w:tc>
          <w:tcPr>
            <w:tcW w:type="dxa" w:w="15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$10</w:t>
            </w:r>
          </w:p>
        </w:tc>
        <w:tc>
          <w:tcPr>
            <w:tcW w:type="dxa" w:w="15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$25</w:t>
            </w:r>
          </w:p>
        </w:tc>
        <w:tc>
          <w:tcPr>
            <w:tcW w:type="dxa" w:w="3072"/>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SMART 3.0 (eff. Sep 2025): $0.025–$0.077/kWh; 52 cycles/yr minimum</w:t>
            </w:r>
          </w:p>
        </w:tc>
      </w:tr>
      <w:tr>
        <w:tc>
          <w:tcPr>
            <w:tcW w:type="dxa" w:w="30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 TOTAL —</w:t>
            </w:r>
          </w:p>
        </w:tc>
        <w:tc>
          <w:tcPr>
            <w:tcW w:type="dxa" w:w="15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$90</w:t>
            </w:r>
          </w:p>
        </w:tc>
        <w:tc>
          <w:tcPr>
            <w:tcW w:type="dxa" w:w="15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$170+</w:t>
            </w:r>
          </w:p>
        </w:tc>
        <w:tc>
          <w:tcPr>
            <w:tcW w:type="dxa" w:w="3072"/>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4-hour BESS in NEMA/SENE zone; before ITC</w:t>
            </w:r>
          </w:p>
        </w:tc>
      </w:tr>
    </w:tbl>
    <w:p>
      <w:pPr>
        <w:spacing w:after="0" w:before="80"/>
      </w:pPr>
      <w:r>
        <w:rPr>
          <w:sz w:val="2"/>
          <w:szCs w:val="2"/>
        </w:rPr>
        <w:t xml:space="preserve"/>
      </w:r>
    </w:p>
    <w:p>
      <w:r>
        <w:br w:type="page"/>
      </w:r>
    </w:p>
    <w:p>
      <w:pPr>
        <w:pBdr>
          <w:top w:val="single" w:color="0E2040" w:sz="2" w:space="0"/>
          <w:bottom w:val="single" w:color="0E2040" w:sz="10" w:space="0"/>
        </w:pBdr>
        <w:shd w:fill="E8EDF3" w:color="auto" w:val="clear"/>
        <w:spacing w:after="100" w:before="280" w:line="288" w:lineRule="auto"/>
      </w:pPr>
      <w:r>
        <w:rPr>
          <w:rFonts w:ascii="Calibri" w:cs="Calibri" w:eastAsia="Calibri" w:hAnsi="Calibri"/>
          <w:b/>
          <w:bCs/>
          <w:i w:val="false"/>
          <w:iCs w:val="false"/>
          <w:color w:val="0E2040"/>
          <w:sz w:val="28"/>
          <w:szCs w:val="28"/>
        </w:rPr>
        <w:t xml:space="preserve">3.  WHAT RISKS THE TOOL SURFACES BEFORE COMMITMENT</w:t>
      </w:r>
    </w:p>
    <w:p>
      <w:pPr>
        <w:spacing w:after="80" w:before="40" w:line="288" w:lineRule="auto"/>
        <w:jc w:val="left"/>
      </w:pPr>
      <w:r>
        <w:rPr>
          <w:rFonts w:ascii="Calibri" w:cs="Calibri" w:eastAsia="Calibri" w:hAnsi="Calibri"/>
          <w:b w:val="false"/>
          <w:bCs w:val="false"/>
          <w:i w:val="false"/>
          <w:iCs w:val="false"/>
          <w:color w:val="1A1A2E"/>
          <w:sz w:val="20"/>
          <w:szCs w:val="20"/>
        </w:rPr>
        <w:t xml:space="preserve">The following risks are routinely discovered late — after site control, interconnection applications, or permitting has begun. The tool surfaces them in pre-acquisition screening.</w:t>
      </w:r>
    </w:p>
    <w:tbl>
      <w:tblPr>
        <w:tblW w:type="dxa" w:w="9360"/>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4400"/>
        <w:gridCol w:w="4672"/>
      </w:tblGrid>
      <w:tr>
        <w:tc>
          <w:tcPr>
            <w:tcW w:type="dxa" w:w="4400"/>
            <w:tcBorders>
              <w:top w:val="none" w:color="FFFFFF" w:sz="0" w:space="0"/>
              <w:left w:val="none" w:color="FFFFFF" w:sz="0" w:space="0"/>
              <w:bottom w:val="none" w:color="FFFFFF" w:sz="0" w:space="0"/>
              <w:right w:val="none" w:color="FFFFFF" w:sz="0" w:space="0"/>
            </w:tcBorders>
            <w:tcMar>
              <w:top w:type="dxa" w:w="0"/>
              <w:left w:type="dxa" w:w="0"/>
              <w:bottom w:type="dxa" w:w="0"/>
              <w:right w:type="dxa" w:w="200"/>
            </w:tcMar>
          </w:tcPr>
          <w:p>
            <w:pPr>
              <w:spacing w:after="50" w:before="160" w:line="288" w:lineRule="auto"/>
              <w:jc w:val="left"/>
            </w:pPr>
            <w:r>
              <w:rPr>
                <w:rFonts w:ascii="Calibri" w:cs="Calibri" w:eastAsia="Calibri" w:hAnsi="Calibri"/>
                <w:b/>
                <w:bCs/>
                <w:i w:val="false"/>
                <w:iCs w:val="false"/>
                <w:color w:val="A83D28"/>
                <w:sz w:val="21"/>
                <w:szCs w:val="21"/>
              </w:rPr>
              <w:t xml:space="preserve">Environmental Justice Risk</w:t>
            </w:r>
          </w:p>
          <w:p>
            <w:pPr>
              <w:spacing w:after="80" w:before="40" w:line="288" w:lineRule="auto"/>
              <w:jc w:val="left"/>
            </w:pPr>
            <w:r>
              <w:rPr>
                <w:rFonts w:ascii="Calibri" w:cs="Calibri" w:eastAsia="Calibri" w:hAnsi="Calibri"/>
                <w:b w:val="false"/>
                <w:bCs w:val="false"/>
                <w:i w:val="false"/>
                <w:iCs w:val="false"/>
                <w:color w:val="1A1A2E"/>
                <w:sz w:val="20"/>
                <w:szCs w:val="20"/>
              </w:rPr>
              <w:t xml:space="preserve">Every municipality in the study area is EJ-designated. The tool identifies CIA severity (Very High in Chelsea, East Boston, Everett) and flags the 33 indicators that must be addressed. Developers who skip CIA pre-screening face permitting holds under 980 CMR 15.00. The tool generates a compliance checklist before you file.</w:t>
            </w:r>
          </w:p>
          <w:p>
            <w:pPr>
              <w:spacing w:after="50" w:before="160" w:line="288" w:lineRule="auto"/>
              <w:jc w:val="left"/>
            </w:pPr>
            <w:r>
              <w:rPr>
                <w:rFonts w:ascii="Calibri" w:cs="Calibri" w:eastAsia="Calibri" w:hAnsi="Calibri"/>
                <w:b/>
                <w:bCs/>
                <w:i w:val="false"/>
                <w:iCs w:val="false"/>
                <w:color w:val="0D7C7B"/>
                <w:sz w:val="21"/>
                <w:szCs w:val="21"/>
              </w:rPr>
              <w:t xml:space="preserve">Interconnection Cost Risk</w:t>
            </w:r>
          </w:p>
          <w:p>
            <w:pPr>
              <w:spacing w:after="80" w:before="40" w:line="288" w:lineRule="auto"/>
              <w:jc w:val="left"/>
            </w:pPr>
            <w:r>
              <w:rPr>
                <w:rFonts w:ascii="Calibri" w:cs="Calibri" w:eastAsia="Calibri" w:hAnsi="Calibri"/>
                <w:b w:val="false"/>
                <w:bCs w:val="false"/>
                <w:i w:val="false"/>
                <w:iCs w:val="false"/>
                <w:color w:val="1A1A2E"/>
                <w:sz w:val="20"/>
                <w:szCs w:val="20"/>
              </w:rPr>
              <w:t xml:space="preserve">Underground cable replacement in urban Suffolk/Middlesex ranges from $1.9M to $9.5M per mile. Transformer upgrades cost $4M. A project that models $200K interconnection can face a $2M–$6M actual cost. The tool provides utility-published cost schedules (Eversource DER Project Costs, National Grid FERC tariff) and flags hosting capacity by circuit.</w:t>
            </w:r>
          </w:p>
          <w:p>
            <w:pPr>
              <w:spacing w:after="50" w:before="160" w:line="288" w:lineRule="auto"/>
              <w:jc w:val="left"/>
            </w:pPr>
            <w:r>
              <w:rPr>
                <w:rFonts w:ascii="Calibri" w:cs="Calibri" w:eastAsia="Calibri" w:hAnsi="Calibri"/>
                <w:b/>
                <w:bCs/>
                <w:i w:val="false"/>
                <w:iCs w:val="false"/>
                <w:color w:val="3A5278"/>
                <w:sz w:val="21"/>
                <w:szCs w:val="21"/>
              </w:rPr>
              <w:t xml:space="preserve">Permitting Complexity Risk</w:t>
            </w:r>
          </w:p>
          <w:p>
            <w:pPr>
              <w:spacing w:after="80" w:before="40" w:line="288" w:lineRule="auto"/>
              <w:jc w:val="left"/>
            </w:pPr>
            <w:r>
              <w:rPr>
                <w:rFonts w:ascii="Calibri" w:cs="Calibri" w:eastAsia="Calibri" w:hAnsi="Calibri"/>
                <w:b w:val="false"/>
                <w:bCs w:val="false"/>
                <w:i w:val="false"/>
                <w:iCs w:val="false"/>
                <w:color w:val="1A1A2E"/>
                <w:sz w:val="20"/>
                <w:szCs w:val="20"/>
              </w:rPr>
              <w:t xml:space="preserve">No BESS-specific zoning exists in most study municipalities. Chelsea required Special Permit + ZBA Variance; the tool identifies this pathway in advance. Revere is actively drafting zoning. The tool flags municipalities where DOER Model Bylaw tiers apply as proxy frameworks and where EFSB jurisdiction (≥100 MWh, July 2026) applies — simplifying large-project permitting to a single 15-month consolidated permit.</w:t>
            </w:r>
          </w:p>
        </w:tc>
        <w:tc>
          <w:tcPr>
            <w:tcW w:type="dxa" w:w="4672"/>
            <w:tcBorders>
              <w:top w:val="none" w:color="FFFFFF" w:sz="0" w:space="0"/>
              <w:left w:val="single" w:color="E8EDF3" w:sz="2" w:space="0"/>
              <w:bottom w:val="none" w:color="FFFFFF" w:sz="0" w:space="0"/>
              <w:right w:val="none" w:color="FFFFFF" w:sz="0" w:space="0"/>
            </w:tcBorders>
            <w:tcMar>
              <w:top w:type="dxa" w:w="0"/>
              <w:left w:type="dxa" w:w="200"/>
              <w:bottom w:type="dxa" w:w="0"/>
              <w:right w:type="dxa" w:w="0"/>
            </w:tcMar>
          </w:tcPr>
          <w:p>
            <w:pPr>
              <w:spacing w:after="50" w:before="160" w:line="288" w:lineRule="auto"/>
              <w:jc w:val="left"/>
            </w:pPr>
            <w:r>
              <w:rPr>
                <w:rFonts w:ascii="Calibri" w:cs="Calibri" w:eastAsia="Calibri" w:hAnsi="Calibri"/>
                <w:b/>
                <w:bCs/>
                <w:i w:val="false"/>
                <w:iCs w:val="false"/>
                <w:color w:val="2A6145"/>
                <w:sz w:val="21"/>
                <w:szCs w:val="21"/>
              </w:rPr>
              <w:t xml:space="preserve">Setback &amp; Buildable Area Risk</w:t>
            </w:r>
          </w:p>
          <w:p>
            <w:pPr>
              <w:spacing w:after="80" w:before="40" w:line="288" w:lineRule="auto"/>
              <w:jc w:val="left"/>
            </w:pPr>
            <w:r>
              <w:rPr>
                <w:rFonts w:ascii="Calibri" w:cs="Calibri" w:eastAsia="Calibri" w:hAnsi="Calibri"/>
                <w:b w:val="false"/>
                <w:bCs w:val="false"/>
                <w:i w:val="false"/>
                <w:iCs w:val="false"/>
                <w:color w:val="1A1A2E"/>
                <w:sz w:val="20"/>
                <w:szCs w:val="20"/>
              </w:rPr>
              <w:t xml:space="preserve">Setbacks range from 50 ft (Chelsea, Everett industrial) to 100 ft (Winthrop residential). A 3-acre site with a 75 ft setback on all sides loses approximately 35–40% of gross area to setback compliance. The tool calculates net buildable area and maximum feasible MW before site acquisition, preventing the common error of acquiring a parcel that cannot physically accommodate the intended system.</w:t>
            </w:r>
          </w:p>
          <w:p>
            <w:pPr>
              <w:spacing w:after="50" w:before="160" w:line="288" w:lineRule="auto"/>
              <w:jc w:val="left"/>
            </w:pPr>
            <w:r>
              <w:rPr>
                <w:rFonts w:ascii="Calibri" w:cs="Calibri" w:eastAsia="Calibri" w:hAnsi="Calibri"/>
                <w:b/>
                <w:bCs/>
                <w:i w:val="false"/>
                <w:iCs w:val="false"/>
                <w:color w:val="C68A17"/>
                <w:sz w:val="21"/>
                <w:szCs w:val="21"/>
              </w:rPr>
              <w:t xml:space="preserve">Revenue Under-Modeling Risk</w:t>
            </w:r>
          </w:p>
          <w:p>
            <w:pPr>
              <w:spacing w:after="80" w:before="40" w:line="288" w:lineRule="auto"/>
              <w:jc w:val="left"/>
            </w:pPr>
            <w:r>
              <w:rPr>
                <w:rFonts w:ascii="Calibri" w:cs="Calibri" w:eastAsia="Calibri" w:hAnsi="Calibri"/>
                <w:b w:val="false"/>
                <w:bCs w:val="false"/>
                <w:i w:val="false"/>
                <w:iCs w:val="false"/>
                <w:color w:val="1A1A2E"/>
                <w:sz w:val="20"/>
                <w:szCs w:val="20"/>
              </w:rPr>
              <w:t xml:space="preserve">Using the ISO-NE Hub average ($41.47/MWh DA, 2024) instead of the NEMA zone actual ($42.09/MWh) understates LMP revenue by ~1.5% annually. More importantly, the CPS multipliers (up to 25× at monthly system peak) and SMART adders are frequently omitted from pro-formas. The tool models the complete stack, including the near-term resource 2× multiplier for projects with COD before January 1, 2027.</w:t>
            </w:r>
          </w:p>
          <w:p>
            <w:pPr>
              <w:spacing w:after="50" w:before="160" w:line="288" w:lineRule="auto"/>
              <w:jc w:val="left"/>
            </w:pPr>
            <w:r>
              <w:rPr>
                <w:rFonts w:ascii="Calibri" w:cs="Calibri" w:eastAsia="Calibri" w:hAnsi="Calibri"/>
                <w:b/>
                <w:bCs/>
                <w:i w:val="false"/>
                <w:iCs w:val="false"/>
                <w:color w:val="A83D28"/>
                <w:sz w:val="21"/>
                <w:szCs w:val="21"/>
              </w:rPr>
              <w:t xml:space="preserve">Federal Tax Credit Risk</w:t>
            </w:r>
          </w:p>
          <w:p>
            <w:pPr>
              <w:spacing w:after="80" w:before="40" w:line="288" w:lineRule="auto"/>
              <w:jc w:val="left"/>
            </w:pPr>
            <w:r>
              <w:rPr>
                <w:rFonts w:ascii="Calibri" w:cs="Calibri" w:eastAsia="Calibri" w:hAnsi="Calibri"/>
                <w:b w:val="false"/>
                <w:bCs w:val="false"/>
                <w:i w:val="false"/>
                <w:iCs w:val="false"/>
                <w:color w:val="1A1A2E"/>
                <w:sz w:val="20"/>
                <w:szCs w:val="20"/>
              </w:rPr>
              <w:t xml:space="preserve">Both Chelsea and Everett qualify for the energy community ITC bonus (+10%) due to brownfield / former fossil fuel industrial status. EJ designation in both municipalities supports the low-income community bonus (+10–20%). Failure to document these qualifications before financial close leaves 20–40 percentage points of ITC on the table. The tool identifies qualifying municipalities and bonus tiers by project profile.</w:t>
            </w:r>
          </w:p>
        </w:tc>
      </w:tr>
    </w:tbl>
    <w:p>
      <w:pPr>
        <w:spacing w:after="0" w:before="80"/>
      </w:pPr>
      <w:r>
        <w:rPr>
          <w:sz w:val="2"/>
          <w:szCs w:val="2"/>
        </w:rPr>
        <w:t xml:space="preserve"/>
      </w:r>
    </w:p>
    <w:p>
      <w:pPr>
        <w:pBdr>
          <w:top w:val="single" w:color="0E2040" w:sz="2" w:space="0"/>
          <w:bottom w:val="single" w:color="0E2040" w:sz="10" w:space="0"/>
        </w:pBdr>
        <w:shd w:fill="E8EDF3" w:color="auto" w:val="clear"/>
        <w:spacing w:after="100" w:before="280" w:line="288" w:lineRule="auto"/>
      </w:pPr>
      <w:r>
        <w:rPr>
          <w:rFonts w:ascii="Calibri" w:cs="Calibri" w:eastAsia="Calibri" w:hAnsi="Calibri"/>
          <w:b/>
          <w:bCs/>
          <w:i w:val="false"/>
          <w:iCs w:val="false"/>
          <w:color w:val="0E2040"/>
          <w:sz w:val="28"/>
          <w:szCs w:val="28"/>
        </w:rPr>
        <w:t xml:space="preserve">4.  HOW THE TOOL SHORTENS TIME-TO-PERMIT</w:t>
      </w:r>
    </w:p>
    <w:p>
      <w:pPr>
        <w:spacing w:after="80" w:before="40" w:line="288" w:lineRule="auto"/>
        <w:jc w:val="left"/>
      </w:pPr>
      <w:r>
        <w:rPr>
          <w:rFonts w:ascii="Calibri" w:cs="Calibri" w:eastAsia="Calibri" w:hAnsi="Calibri"/>
          <w:b w:val="false"/>
          <w:bCs w:val="false"/>
          <w:i w:val="false"/>
          <w:iCs w:val="false"/>
          <w:color w:val="1A1A2E"/>
          <w:sz w:val="20"/>
          <w:szCs w:val="20"/>
        </w:rPr>
        <w:t xml:space="preserve">Three concrete mechanisms compress the permitting timeline for developers who use the tool in pre-acquisition screening.</w:t>
      </w:r>
    </w:p>
    <w:p>
      <w:pPr>
        <w:pBdr>
          <w:bottom w:val="single" w:color="0D7C7B" w:sz="4" w:space="0"/>
        </w:pBdr>
        <w:spacing w:after="80" w:before="200" w:line="288" w:lineRule="auto"/>
      </w:pPr>
      <w:r>
        <w:rPr>
          <w:rFonts w:ascii="Calibri" w:cs="Calibri" w:eastAsia="Calibri" w:hAnsi="Calibri"/>
          <w:b/>
          <w:bCs/>
          <w:i w:val="false"/>
          <w:iCs w:val="false"/>
          <w:color w:val="0D7C7B"/>
          <w:sz w:val="24"/>
          <w:szCs w:val="24"/>
        </w:rPr>
        <w:t xml:space="preserve">Mechanism 1: EJ-First Design Eliminates Redesign</w:t>
      </w:r>
    </w:p>
    <w:p>
      <w:pPr>
        <w:spacing w:after="80" w:before="40" w:line="288" w:lineRule="auto"/>
        <w:jc w:val="left"/>
      </w:pPr>
      <w:r>
        <w:rPr>
          <w:rFonts w:ascii="Calibri" w:cs="Calibri" w:eastAsia="Calibri" w:hAnsi="Calibri"/>
          <w:b w:val="false"/>
          <w:bCs w:val="false"/>
          <w:i w:val="false"/>
          <w:iCs w:val="false"/>
          <w:color w:val="1A1A2E"/>
          <w:sz w:val="20"/>
          <w:szCs w:val="20"/>
        </w:rPr>
        <w:t xml:space="preserve">The most common cause of project delays in Massachusetts BESS development is discovering EJ triggers — CIA requirements, community engagement obligations, health burden documentation — after site control has been established. By embedding CIA screening in the scoring model before any site is shortlisted, the tool eliminates the 6–18 month redesign cycles that follow late EJ discovery. Chelsea’s Energizar project, which proactively engaged GreenRoots and structured a $15M workforce development HCA, moved from Planning Board approval (May 2024) to ZBA permit (October 2024) in five months — a timeline attributable directly to the community engagement framework built in from the start.</w:t>
      </w:r>
    </w:p>
    <w:p>
      <w:pPr>
        <w:pBdr>
          <w:bottom w:val="single" w:color="0D7C7B" w:sz="4" w:space="0"/>
        </w:pBdr>
        <w:spacing w:after="80" w:before="200" w:line="288" w:lineRule="auto"/>
      </w:pPr>
      <w:r>
        <w:rPr>
          <w:rFonts w:ascii="Calibri" w:cs="Calibri" w:eastAsia="Calibri" w:hAnsi="Calibri"/>
          <w:b/>
          <w:bCs/>
          <w:i w:val="false"/>
          <w:iCs w:val="false"/>
          <w:color w:val="0D7C7B"/>
          <w:sz w:val="24"/>
          <w:szCs w:val="24"/>
        </w:rPr>
        <w:t xml:space="preserve">Mechanism 2: EFSB Pathway Certainty for ≥100 MWh</w:t>
      </w:r>
    </w:p>
    <w:p>
      <w:pPr>
        <w:spacing w:after="80" w:before="40" w:line="288" w:lineRule="auto"/>
        <w:jc w:val="left"/>
      </w:pPr>
      <w:r>
        <w:rPr>
          <w:rFonts w:ascii="Calibri" w:cs="Calibri" w:eastAsia="Calibri" w:hAnsi="Calibri"/>
          <w:b w:val="false"/>
          <w:bCs w:val="false"/>
          <w:i w:val="false"/>
          <w:iCs w:val="false"/>
          <w:color w:val="1A1A2E"/>
          <w:sz w:val="20"/>
          <w:szCs w:val="20"/>
        </w:rPr>
        <w:t xml:space="preserve">Effective July 1, 2026, the EFSB has sole jurisdiction over projects ≥100 MWh, issuing a single consolidated permit replacing all local, state, and regional approvals within a mandatory 15-month deadline. Auto-approval applies if the EFSB misses the deadline. The tool identifies which projects qualify for EFSB jurisdiction versus the local consolidated 12-month path (projects &lt;100 MWh, effective October 1, 2026 for local opt-in). Developers using the tool can target EFSB-eligible sites and plan capital timing around the 15-month runway with regulatory certainty unavailable anywhere else in the country.</w:t>
      </w:r>
    </w:p>
    <w:p>
      <w:pPr>
        <w:pBdr>
          <w:bottom w:val="single" w:color="0D7C7B" w:sz="4" w:space="0"/>
        </w:pBdr>
        <w:spacing w:after="80" w:before="200" w:line="288" w:lineRule="auto"/>
      </w:pPr>
      <w:r>
        <w:rPr>
          <w:rFonts w:ascii="Calibri" w:cs="Calibri" w:eastAsia="Calibri" w:hAnsi="Calibri"/>
          <w:b/>
          <w:bCs/>
          <w:i w:val="false"/>
          <w:iCs w:val="false"/>
          <w:color w:val="0D7C7B"/>
          <w:sz w:val="24"/>
          <w:szCs w:val="24"/>
        </w:rPr>
        <w:t xml:space="preserve">Mechanism 3: Data-Ready Host Community Agreements</w:t>
      </w:r>
    </w:p>
    <w:p>
      <w:pPr>
        <w:spacing w:after="80" w:before="40" w:line="288" w:lineRule="auto"/>
        <w:jc w:val="left"/>
      </w:pPr>
      <w:r>
        <w:rPr>
          <w:rFonts w:ascii="Calibri" w:cs="Calibri" w:eastAsia="Calibri" w:hAnsi="Calibri"/>
          <w:b w:val="false"/>
          <w:bCs w:val="false"/>
          <w:i w:val="false"/>
          <w:iCs w:val="false"/>
          <w:color w:val="1A1A2E"/>
          <w:sz w:val="20"/>
          <w:szCs w:val="20"/>
        </w:rPr>
        <w:t xml:space="preserve">Host Community Agreement (HCA) negotiations are frequently delayed because developers lack municipality-specific benchmarking data for PILOT values, workforce commitments, and community benefit structures. The tool assembles this data: Chelsea’s 20-year PILOT ($31M total, $1.55M/yr avg) and HCA ($584K/yr workforce development), Everett’s $2.5M/yr tax revenue commitment, and a $45M+ total lifetime community economic impact figure. Developers entering HCA negotiations with these benchmarks — and a CIA compliance framework already documented — move from first meeting to signed agreement months faster than those starting from scratch.</w:t>
      </w:r>
    </w:p>
    <w:tbl>
      <w:tblPr>
        <w:tblW w:type="dxa" w:w="9360"/>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360"/>
        <w:gridCol w:w="9000"/>
      </w:tblGrid>
      <w:tr>
        <w:tc>
          <w:tcPr>
            <w:tcW w:type="dxa" w:w="360"/>
            <w:tcBorders>
              <w:top w:val="none" w:color="FFFFFF" w:sz="0" w:space="0"/>
              <w:left w:val="single" w:color="2A6145" w:sz="12" w:space="0"/>
              <w:bottom w:val="none" w:color="FFFFFF" w:sz="0" w:space="0"/>
              <w:right w:val="none" w:color="FFFFFF" w:sz="0" w:space="0"/>
            </w:tcBorders>
            <w:shd w:fill="2A6145" w:color="auto" w:val="clear"/>
            <w:tcMar>
              <w:top w:type="dxa" w:w="100"/>
              <w:left w:type="dxa" w:w="0"/>
              <w:bottom w:type="dxa" w:w="100"/>
              <w:right w:type="dxa" w:w="0"/>
            </w:tcMar>
          </w:tcPr>
          <w:p>
            <w:pPr>
              <w:spacing w:after="100" w:before="0" w:line="288" w:lineRule="auto"/>
              <w:jc w:val="left"/>
            </w:pPr>
            <w:r>
              <w:rPr>
                <w:rFonts w:ascii="Calibri" w:cs="Calibri" w:eastAsia="Calibri" w:hAnsi="Calibri"/>
                <w:b w:val="false"/>
                <w:bCs w:val="false"/>
                <w:i w:val="false"/>
                <w:iCs w:val="false"/>
                <w:color w:val="1A1A2E"/>
                <w:sz w:val="4"/>
                <w:szCs w:val="4"/>
              </w:rPr>
              <w:t xml:space="preserve"/>
            </w:r>
          </w:p>
        </w:tc>
        <w:tc>
          <w:tcPr>
            <w:tcW w:type="dxa" w:w="9000"/>
            <w:tcBorders>
              <w:top w:val="single" w:color="AAAAAA" w:sz="1" w:space="0"/>
              <w:left w:val="none" w:color="FFFFFF" w:sz="0" w:space="0"/>
              <w:bottom w:val="single" w:color="AAAAAA" w:sz="1" w:space="0"/>
              <w:right w:val="none" w:color="FFFFFF" w:sz="0" w:space="0"/>
            </w:tcBorders>
            <w:shd w:fill="F0F8F8" w:color="auto" w:val="clear"/>
            <w:tcMar>
              <w:top w:type="dxa" w:w="80"/>
              <w:left w:type="dxa" w:w="200"/>
              <w:bottom w:type="dxa" w:w="80"/>
              <w:right w:type="dxa" w:w="120"/>
            </w:tcMar>
          </w:tcPr>
          <w:p>
            <w:pPr>
              <w:spacing w:after="40" w:before="0" w:line="288" w:lineRule="auto"/>
              <w:jc w:val="left"/>
            </w:pPr>
            <w:r>
              <w:rPr>
                <w:rFonts w:ascii="Calibri" w:cs="Calibri" w:eastAsia="Calibri" w:hAnsi="Calibri"/>
                <w:b/>
                <w:bCs/>
                <w:i w:val="false"/>
                <w:iCs w:val="false"/>
                <w:color w:val="2A6145"/>
                <w:sz w:val="17"/>
                <w:szCs w:val="17"/>
              </w:rPr>
              <w:t xml:space="preserve">TIMELINE COMPARISON</w:t>
            </w:r>
          </w:p>
          <w:p>
            <w:pPr>
              <w:spacing w:after="100" w:before="0" w:line="288" w:lineRule="auto"/>
              <w:jc w:val="left"/>
            </w:pPr>
            <w:r>
              <w:rPr>
                <w:rFonts w:ascii="Calibri" w:cs="Calibri" w:eastAsia="Calibri" w:hAnsi="Calibri"/>
                <w:b w:val="false"/>
                <w:bCs w:val="false"/>
                <w:i w:val="false"/>
                <w:iCs w:val="false"/>
                <w:color w:val="1A1A2E"/>
                <w:sz w:val="19"/>
                <w:szCs w:val="19"/>
              </w:rPr>
              <w:t xml:space="preserve">Without tool: Site identified → EJ screening (3–6 months post-identification) → CIA redesign (6–18 months) → Community engagement (6– 12 months) → Permitting (12–18 months) = 27–54 months total. With tool: EJ/CIA pre-screened before site identification → Community engagement structured at acquisition → HCA data benchmarked → EFSB pathway confirmed = 12–20 months total for EFSB-eligible projects.</w:t>
            </w:r>
          </w:p>
        </w:tc>
      </w:tr>
    </w:tbl>
    <w:p>
      <w:pPr>
        <w:spacing w:after="0" w:before="80"/>
      </w:pPr>
      <w:r>
        <w:rPr>
          <w:sz w:val="2"/>
          <w:szCs w:val="2"/>
        </w:rPr>
        <w:t xml:space="preserve"/>
      </w:r>
    </w:p>
    <w:p>
      <w:r>
        <w:br w:type="page"/>
      </w:r>
    </w:p>
    <w:p>
      <w:pPr>
        <w:pBdr>
          <w:top w:val="single" w:color="0E2040" w:sz="2" w:space="0"/>
          <w:bottom w:val="single" w:color="0E2040" w:sz="10" w:space="0"/>
        </w:pBdr>
        <w:shd w:fill="E8EDF3" w:color="auto" w:val="clear"/>
        <w:spacing w:after="100" w:before="280" w:line="288" w:lineRule="auto"/>
      </w:pPr>
      <w:r>
        <w:rPr>
          <w:rFonts w:ascii="Calibri" w:cs="Calibri" w:eastAsia="Calibri" w:hAnsi="Calibri"/>
          <w:b/>
          <w:bCs/>
          <w:i w:val="false"/>
          <w:iCs w:val="false"/>
          <w:color w:val="0E2040"/>
          <w:sz w:val="28"/>
          <w:szCs w:val="28"/>
        </w:rPr>
        <w:t xml:space="preserve">5.  CHELSEA, MA — DEVELOPER PROFILE: ENERGIZAR PROJECT</w:t>
      </w:r>
    </w:p>
    <w:p>
      <w:pPr>
        <w:spacing w:after="80" w:before="40" w:line="288" w:lineRule="auto"/>
        <w:jc w:val="left"/>
      </w:pPr>
      <w:r>
        <w:rPr>
          <w:rFonts w:ascii="Calibri" w:cs="Calibri" w:eastAsia="Calibri" w:hAnsi="Calibri"/>
          <w:b w:val="false"/>
          <w:bCs w:val="false"/>
          <w:i w:val="false"/>
          <w:iCs w:val="false"/>
          <w:color w:val="1A1A2E"/>
          <w:sz w:val="20"/>
          <w:szCs w:val="20"/>
        </w:rPr>
        <w:t xml:space="preserve">Chelsea ranks second overall (113/125) in the five-layer composite scoring and represents the benchmark EJ-forward community benefit model for Massachusetts BESS development. The Energizar project at 284 Eastern Avenue provides a detailed roadmap for developers pursuing similar projects.</w:t>
      </w:r>
    </w:p>
    <w:tbl>
      <w:tblPr>
        <w:tblW w:type="dxa" w:w="9360"/>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4400"/>
        <w:gridCol w:w="4672"/>
      </w:tblGrid>
      <w:tr>
        <w:tc>
          <w:tcPr>
            <w:tcW w:type="dxa" w:w="4400"/>
            <w:tcBorders>
              <w:top w:val="none" w:color="FFFFFF" w:sz="0" w:space="0"/>
              <w:left w:val="none" w:color="FFFFFF" w:sz="0" w:space="0"/>
              <w:bottom w:val="none" w:color="FFFFFF" w:sz="0" w:space="0"/>
              <w:right w:val="none" w:color="FFFFFF" w:sz="0" w:space="0"/>
            </w:tcBorders>
            <w:tcMar>
              <w:top w:type="dxa" w:w="0"/>
              <w:left w:type="dxa" w:w="0"/>
              <w:bottom w:type="dxa" w:w="0"/>
              <w:right w:type="dxa" w:w="200"/>
            </w:tcMar>
          </w:tcPr>
          <w:p>
            <w:pPr>
              <w:pBdr>
                <w:bottom w:val="single" w:color="A83D28" w:sz="4" w:space="0"/>
              </w:pBdr>
              <w:spacing w:after="80" w:before="200" w:line="288" w:lineRule="auto"/>
            </w:pPr>
            <w:r>
              <w:rPr>
                <w:rFonts w:ascii="Calibri" w:cs="Calibri" w:eastAsia="Calibri" w:hAnsi="Calibri"/>
                <w:b/>
                <w:bCs/>
                <w:i w:val="false"/>
                <w:iCs w:val="false"/>
                <w:color w:val="A83D28"/>
                <w:sz w:val="24"/>
                <w:szCs w:val="24"/>
              </w:rPr>
              <w:t xml:space="preserve">Composite Score Breakdown</w:t>
            </w:r>
          </w:p>
          <w:p>
            <w:pPr>
              <w:spacing w:after="40" w:before="40" w:line="264" w:lineRule="auto"/>
              <w:jc w:val="left"/>
            </w:pPr>
            <w:r>
              <w:rPr>
                <w:rFonts w:ascii="Calibri" w:cs="Calibri" w:eastAsia="Calibri" w:hAnsi="Calibri"/>
                <w:b/>
                <w:bCs/>
                <w:i w:val="false"/>
                <w:iCs w:val="false"/>
                <w:color w:val="1A1A2E"/>
                <w:sz w:val="19"/>
                <w:szCs w:val="19"/>
              </w:rPr>
              <w:t xml:space="preserve">EJ &amp; Regulatory               </w:t>
            </w:r>
            <w:r>
              <w:rPr>
                <w:rFonts w:ascii="Calibri" w:cs="Calibri" w:eastAsia="Calibri" w:hAnsi="Calibri"/>
                <w:b w:val="false"/>
                <w:bCs w:val="false"/>
                <w:i w:val="false"/>
                <w:iCs w:val="false"/>
                <w:color w:val="A83D28"/>
                <w:sz w:val="14"/>
                <w:szCs w:val="14"/>
              </w:rPr>
              <w:t xml:space="preserve">■■■■■■■■■■■■■■■■■■■■</w:t>
            </w:r>
            <w:r>
              <w:rPr>
                <w:rFonts w:ascii="Calibri" w:cs="Calibri" w:eastAsia="Calibri" w:hAnsi="Calibri"/>
                <w:b/>
                <w:bCs/>
                <w:i w:val="false"/>
                <w:iCs w:val="false"/>
                <w:color w:val="A83D28"/>
                <w:sz w:val="19"/>
                <w:szCs w:val="19"/>
              </w:rPr>
              <w:t xml:space="preserve"> 25/25</w:t>
            </w:r>
          </w:p>
          <w:p>
            <w:pPr>
              <w:spacing w:after="40" w:before="40" w:line="264" w:lineRule="auto"/>
              <w:jc w:val="left"/>
            </w:pPr>
            <w:r>
              <w:rPr>
                <w:rFonts w:ascii="Calibri" w:cs="Calibri" w:eastAsia="Calibri" w:hAnsi="Calibri"/>
                <w:b/>
                <w:bCs/>
                <w:i w:val="false"/>
                <w:iCs w:val="false"/>
                <w:color w:val="1A1A2E"/>
                <w:sz w:val="19"/>
                <w:szCs w:val="19"/>
              </w:rPr>
              <w:t xml:space="preserve">Grid Feasibility              </w:t>
            </w:r>
            <w:r>
              <w:rPr>
                <w:rFonts w:ascii="Calibri" w:cs="Calibri" w:eastAsia="Calibri" w:hAnsi="Calibri"/>
                <w:b w:val="false"/>
                <w:bCs w:val="false"/>
                <w:i w:val="false"/>
                <w:iCs w:val="false"/>
                <w:color w:val="0D7C7B"/>
                <w:sz w:val="14"/>
                <w:szCs w:val="14"/>
              </w:rPr>
              <w:t xml:space="preserve">■■■■■■■■■■■■■■■■■■□□</w:t>
            </w:r>
            <w:r>
              <w:rPr>
                <w:rFonts w:ascii="Calibri" w:cs="Calibri" w:eastAsia="Calibri" w:hAnsi="Calibri"/>
                <w:b/>
                <w:bCs/>
                <w:i w:val="false"/>
                <w:iCs w:val="false"/>
                <w:color w:val="0D7C7B"/>
                <w:sz w:val="19"/>
                <w:szCs w:val="19"/>
              </w:rPr>
              <w:t xml:space="preserve"> 23/25</w:t>
            </w:r>
          </w:p>
          <w:p>
            <w:pPr>
              <w:spacing w:after="40" w:before="40" w:line="264" w:lineRule="auto"/>
              <w:jc w:val="left"/>
            </w:pPr>
            <w:r>
              <w:rPr>
                <w:rFonts w:ascii="Calibri" w:cs="Calibri" w:eastAsia="Calibri" w:hAnsi="Calibri"/>
                <w:b/>
                <w:bCs/>
                <w:i w:val="false"/>
                <w:iCs w:val="false"/>
                <w:color w:val="1A1A2E"/>
                <w:sz w:val="19"/>
                <w:szCs w:val="19"/>
              </w:rPr>
              <w:t xml:space="preserve">Zoning &amp; Permitting           </w:t>
            </w:r>
            <w:r>
              <w:rPr>
                <w:rFonts w:ascii="Calibri" w:cs="Calibri" w:eastAsia="Calibri" w:hAnsi="Calibri"/>
                <w:b w:val="false"/>
                <w:bCs w:val="false"/>
                <w:i w:val="false"/>
                <w:iCs w:val="false"/>
                <w:color w:val="3A5278"/>
                <w:sz w:val="14"/>
                <w:szCs w:val="14"/>
              </w:rPr>
              <w:t xml:space="preserve">■■■■■■■■■■■■■■■■□□□□</w:t>
            </w:r>
            <w:r>
              <w:rPr>
                <w:rFonts w:ascii="Calibri" w:cs="Calibri" w:eastAsia="Calibri" w:hAnsi="Calibri"/>
                <w:b/>
                <w:bCs/>
                <w:i w:val="false"/>
                <w:iCs w:val="false"/>
                <w:color w:val="3A5278"/>
                <w:sz w:val="19"/>
                <w:szCs w:val="19"/>
              </w:rPr>
              <w:t xml:space="preserve"> 20/25</w:t>
            </w:r>
          </w:p>
          <w:p>
            <w:pPr>
              <w:spacing w:after="40" w:before="40" w:line="264" w:lineRule="auto"/>
              <w:jc w:val="left"/>
            </w:pPr>
            <w:r>
              <w:rPr>
                <w:rFonts w:ascii="Calibri" w:cs="Calibri" w:eastAsia="Calibri" w:hAnsi="Calibri"/>
                <w:b/>
                <w:bCs/>
                <w:i w:val="false"/>
                <w:iCs w:val="false"/>
                <w:color w:val="1A1A2E"/>
                <w:sz w:val="19"/>
                <w:szCs w:val="19"/>
              </w:rPr>
              <w:t xml:space="preserve">Physical Feasibility          </w:t>
            </w:r>
            <w:r>
              <w:rPr>
                <w:rFonts w:ascii="Calibri" w:cs="Calibri" w:eastAsia="Calibri" w:hAnsi="Calibri"/>
                <w:b w:val="false"/>
                <w:bCs w:val="false"/>
                <w:i w:val="false"/>
                <w:iCs w:val="false"/>
                <w:color w:val="2A6145"/>
                <w:sz w:val="14"/>
                <w:szCs w:val="14"/>
              </w:rPr>
              <w:t xml:space="preserve">■■■■■■■■■■■■■■■■■□□□</w:t>
            </w:r>
            <w:r>
              <w:rPr>
                <w:rFonts w:ascii="Calibri" w:cs="Calibri" w:eastAsia="Calibri" w:hAnsi="Calibri"/>
                <w:b/>
                <w:bCs/>
                <w:i w:val="false"/>
                <w:iCs w:val="false"/>
                <w:color w:val="2A6145"/>
                <w:sz w:val="19"/>
                <w:szCs w:val="19"/>
              </w:rPr>
              <w:t xml:space="preserve"> 21/25</w:t>
            </w:r>
          </w:p>
          <w:p>
            <w:pPr>
              <w:spacing w:after="40" w:before="40" w:line="264" w:lineRule="auto"/>
              <w:jc w:val="left"/>
            </w:pPr>
            <w:r>
              <w:rPr>
                <w:rFonts w:ascii="Calibri" w:cs="Calibri" w:eastAsia="Calibri" w:hAnsi="Calibri"/>
                <w:b/>
                <w:bCs/>
                <w:i w:val="false"/>
                <w:iCs w:val="false"/>
                <w:color w:val="1A1A2E"/>
                <w:sz w:val="19"/>
                <w:szCs w:val="19"/>
              </w:rPr>
              <w:t xml:space="preserve">Revenue Potential             </w:t>
            </w:r>
            <w:r>
              <w:rPr>
                <w:rFonts w:ascii="Calibri" w:cs="Calibri" w:eastAsia="Calibri" w:hAnsi="Calibri"/>
                <w:b w:val="false"/>
                <w:bCs w:val="false"/>
                <w:i w:val="false"/>
                <w:iCs w:val="false"/>
                <w:color w:val="C68A17"/>
                <w:sz w:val="14"/>
                <w:szCs w:val="14"/>
              </w:rPr>
              <w:t xml:space="preserve">■■■■■■■■■■■■■■■■■■■□</w:t>
            </w:r>
            <w:r>
              <w:rPr>
                <w:rFonts w:ascii="Calibri" w:cs="Calibri" w:eastAsia="Calibri" w:hAnsi="Calibri"/>
                <w:b/>
                <w:bCs/>
                <w:i w:val="false"/>
                <w:iCs w:val="false"/>
                <w:color w:val="C68A17"/>
                <w:sz w:val="19"/>
                <w:szCs w:val="19"/>
              </w:rPr>
              <w:t xml:space="preserve"> 24/25</w:t>
            </w:r>
          </w:p>
          <w:p>
            <w:pPr>
              <w:pBdr>
                <w:top w:val="single" w:color="A83D28" w:sz="4" w:space="0"/>
                <w:bottom w:val="single" w:color="A83D28" w:sz="4" w:space="0"/>
              </w:pBdr>
              <w:spacing w:after="80" w:before="80" w:line="288" w:lineRule="auto"/>
              <w:jc w:val="center"/>
            </w:pPr>
            <w:r>
              <w:rPr>
                <w:rFonts w:ascii="Calibri" w:cs="Calibri" w:eastAsia="Calibri" w:hAnsi="Calibri"/>
                <w:b/>
                <w:bCs/>
                <w:i w:val="false"/>
                <w:iCs w:val="false"/>
                <w:color w:val="A83D28"/>
                <w:sz w:val="22"/>
                <w:szCs w:val="22"/>
              </w:rPr>
              <w:t xml:space="preserve">COMPOSITE: 113 / 125</w:t>
            </w:r>
          </w:p>
          <w:p>
            <w:pPr>
              <w:pBdr>
                <w:bottom w:val="single" w:color="0D7C7B" w:sz="4" w:space="0"/>
              </w:pBdr>
              <w:spacing w:after="80" w:before="200" w:line="288" w:lineRule="auto"/>
            </w:pPr>
            <w:r>
              <w:rPr>
                <w:rFonts w:ascii="Calibri" w:cs="Calibri" w:eastAsia="Calibri" w:hAnsi="Calibri"/>
                <w:b/>
                <w:bCs/>
                <w:i w:val="false"/>
                <w:iCs w:val="false"/>
                <w:color w:val="0D7C7B"/>
                <w:sz w:val="24"/>
                <w:szCs w:val="24"/>
              </w:rPr>
              <w:t xml:space="preserve">Key Developer Parameters</w:t>
            </w:r>
          </w:p>
          <w:p>
            <w:pPr>
              <w:pStyle w:val="ListParagraph"/>
              <w:numPr>
                <w:ilvl w:val="0"/>
                <w:numId w:val="2"/>
              </w:numPr>
              <w:spacing w:after="50" w:before="50" w:line="272" w:lineRule="auto"/>
            </w:pPr>
            <w:r>
              <w:rPr>
                <w:rFonts w:ascii="Calibri" w:cs="Calibri" w:eastAsia="Calibri" w:hAnsi="Calibri"/>
                <w:b w:val="false"/>
                <w:bCs w:val="false"/>
                <w:i w:val="false"/>
                <w:iCs w:val="false"/>
                <w:color w:val="1A1A2E"/>
                <w:sz w:val="20"/>
                <w:szCs w:val="20"/>
              </w:rPr>
              <w:t xml:space="preserve">Site: 284 Eastern Ave, Chelsea (3.7 acres, I-1/I-2 Industrial)</w:t>
            </w:r>
          </w:p>
          <w:p>
            <w:pPr>
              <w:pStyle w:val="ListParagraph"/>
              <w:numPr>
                <w:ilvl w:val="0"/>
                <w:numId w:val="2"/>
              </w:numPr>
              <w:spacing w:after="50" w:before="50" w:line="272" w:lineRule="auto"/>
            </w:pPr>
            <w:r>
              <w:rPr>
                <w:rFonts w:ascii="Calibri" w:cs="Calibri" w:eastAsia="Calibri" w:hAnsi="Calibri"/>
                <w:b w:val="false"/>
                <w:bCs w:val="false"/>
                <w:i w:val="false"/>
                <w:iCs w:val="false"/>
                <w:color w:val="1A1A2E"/>
                <w:sz w:val="20"/>
                <w:szCs w:val="20"/>
              </w:rPr>
              <w:t xml:space="preserve">Developer: Flatiron Energy</w:t>
            </w:r>
          </w:p>
          <w:p>
            <w:pPr>
              <w:pStyle w:val="ListParagraph"/>
              <w:numPr>
                <w:ilvl w:val="0"/>
                <w:numId w:val="2"/>
              </w:numPr>
              <w:spacing w:after="50" w:before="50" w:line="272" w:lineRule="auto"/>
            </w:pPr>
            <w:r>
              <w:rPr>
                <w:rFonts w:ascii="Calibri" w:cs="Calibri" w:eastAsia="Calibri" w:hAnsi="Calibri"/>
                <w:b w:val="false"/>
                <w:bCs w:val="false"/>
                <w:i w:val="false"/>
                <w:iCs w:val="false"/>
                <w:color w:val="1A1A2E"/>
                <w:sz w:val="20"/>
                <w:szCs w:val="20"/>
              </w:rPr>
              <w:t xml:space="preserve">GC: Consigli Construction</w:t>
            </w:r>
          </w:p>
          <w:p>
            <w:pPr>
              <w:pStyle w:val="ListParagraph"/>
              <w:numPr>
                <w:ilvl w:val="0"/>
                <w:numId w:val="2"/>
              </w:numPr>
              <w:spacing w:after="50" w:before="50" w:line="272" w:lineRule="auto"/>
            </w:pPr>
            <w:r>
              <w:rPr>
                <w:rFonts w:ascii="Calibri" w:cs="Calibri" w:eastAsia="Calibri" w:hAnsi="Calibri"/>
                <w:b w:val="false"/>
                <w:bCs w:val="false"/>
                <w:i w:val="false"/>
                <w:iCs w:val="false"/>
                <w:color w:val="1A1A2E"/>
                <w:sz w:val="20"/>
                <w:szCs w:val="20"/>
              </w:rPr>
              <w:t xml:space="preserve">Technology: Containerized LFP units (120+ individual)</w:t>
            </w:r>
          </w:p>
          <w:p>
            <w:pPr>
              <w:pStyle w:val="ListParagraph"/>
              <w:numPr>
                <w:ilvl w:val="0"/>
                <w:numId w:val="2"/>
              </w:numPr>
              <w:spacing w:after="50" w:before="50" w:line="272" w:lineRule="auto"/>
            </w:pPr>
            <w:r>
              <w:rPr>
                <w:rFonts w:ascii="Calibri" w:cs="Calibri" w:eastAsia="Calibri" w:hAnsi="Calibri"/>
                <w:b w:val="false"/>
                <w:bCs w:val="false"/>
                <w:i w:val="false"/>
                <w:iCs w:val="false"/>
                <w:color w:val="1A1A2E"/>
                <w:sz w:val="20"/>
                <w:szCs w:val="20"/>
              </w:rPr>
              <w:t xml:space="preserve">Setback: 50 ft (industrial zone)</w:t>
            </w:r>
          </w:p>
          <w:p>
            <w:pPr>
              <w:pStyle w:val="ListParagraph"/>
              <w:numPr>
                <w:ilvl w:val="0"/>
                <w:numId w:val="2"/>
              </w:numPr>
              <w:spacing w:after="50" w:before="50" w:line="272" w:lineRule="auto"/>
            </w:pPr>
            <w:r>
              <w:rPr>
                <w:rFonts w:ascii="Calibri" w:cs="Calibri" w:eastAsia="Calibri" w:hAnsi="Calibri"/>
                <w:b w:val="false"/>
                <w:bCs w:val="false"/>
                <w:i w:val="false"/>
                <w:iCs w:val="false"/>
                <w:color w:val="1A1A2E"/>
                <w:sz w:val="20"/>
                <w:szCs w:val="20"/>
              </w:rPr>
              <w:t xml:space="preserve">Permitting: Planning Board (May–Oct 2024) → ZBA (Oct 17, 2024)</w:t>
            </w:r>
          </w:p>
          <w:p>
            <w:pPr>
              <w:pStyle w:val="ListParagraph"/>
              <w:numPr>
                <w:ilvl w:val="0"/>
                <w:numId w:val="2"/>
              </w:numPr>
              <w:spacing w:after="50" w:before="50" w:line="272" w:lineRule="auto"/>
            </w:pPr>
            <w:r>
              <w:rPr>
                <w:rFonts w:ascii="Calibri" w:cs="Calibri" w:eastAsia="Calibri" w:hAnsi="Calibri"/>
                <w:b w:val="false"/>
                <w:bCs w:val="false"/>
                <w:i w:val="false"/>
                <w:iCs w:val="false"/>
                <w:color w:val="1A1A2E"/>
                <w:sz w:val="20"/>
                <w:szCs w:val="20"/>
              </w:rPr>
              <w:t xml:space="preserve">Section 83E Round 1: Selected December 19, 2025</w:t>
            </w:r>
          </w:p>
          <w:p>
            <w:pPr>
              <w:pStyle w:val="ListParagraph"/>
              <w:numPr>
                <w:ilvl w:val="0"/>
                <w:numId w:val="2"/>
              </w:numPr>
              <w:spacing w:after="50" w:before="50" w:line="272" w:lineRule="auto"/>
            </w:pPr>
            <w:r>
              <w:rPr>
                <w:rFonts w:ascii="Calibri" w:cs="Calibri" w:eastAsia="Calibri" w:hAnsi="Calibri"/>
                <w:b w:val="false"/>
                <w:bCs w:val="false"/>
                <w:i w:val="false"/>
                <w:iCs w:val="false"/>
                <w:color w:val="1A1A2E"/>
                <w:sz w:val="20"/>
                <w:szCs w:val="20"/>
              </w:rPr>
              <w:t xml:space="preserve">Operations target: End of 2027</w:t>
            </w:r>
          </w:p>
          <w:p>
            <w:pPr>
              <w:pStyle w:val="ListParagraph"/>
              <w:numPr>
                <w:ilvl w:val="0"/>
                <w:numId w:val="2"/>
              </w:numPr>
              <w:spacing w:after="50" w:before="50" w:line="272" w:lineRule="auto"/>
            </w:pPr>
            <w:r>
              <w:rPr>
                <w:rFonts w:ascii="Calibri" w:cs="Calibri" w:eastAsia="Calibri" w:hAnsi="Calibri"/>
                <w:b w:val="false"/>
                <w:bCs w:val="false"/>
                <w:i w:val="false"/>
                <w:iCs w:val="false"/>
                <w:color w:val="1A1A2E"/>
                <w:sz w:val="20"/>
                <w:szCs w:val="20"/>
              </w:rPr>
              <w:t xml:space="preserve">Utility: Eversource (Chelsea electrical substation, 0.4 mi)</w:t>
            </w:r>
          </w:p>
          <w:p>
            <w:pPr>
              <w:pStyle w:val="ListParagraph"/>
              <w:numPr>
                <w:ilvl w:val="0"/>
                <w:numId w:val="2"/>
              </w:numPr>
              <w:spacing w:after="50" w:before="50" w:line="272" w:lineRule="auto"/>
            </w:pPr>
            <w:r>
              <w:rPr>
                <w:rFonts w:ascii="Calibri" w:cs="Calibri" w:eastAsia="Calibri" w:hAnsi="Calibri"/>
                <w:b w:val="false"/>
                <w:bCs w:val="false"/>
                <w:i w:val="false"/>
                <w:iCs w:val="false"/>
                <w:color w:val="1A1A2E"/>
                <w:sz w:val="20"/>
                <w:szCs w:val="20"/>
              </w:rPr>
              <w:t xml:space="preserve">ISO-NE zone: SENE (LMP premium: +1.5% above Hub)</w:t>
            </w:r>
          </w:p>
        </w:tc>
        <w:tc>
          <w:tcPr>
            <w:tcW w:type="dxa" w:w="4672"/>
            <w:tcBorders>
              <w:top w:val="none" w:color="FFFFFF" w:sz="0" w:space="0"/>
              <w:left w:val="single" w:color="E8EDF3" w:sz="2" w:space="0"/>
              <w:bottom w:val="none" w:color="FFFFFF" w:sz="0" w:space="0"/>
              <w:right w:val="none" w:color="FFFFFF" w:sz="0" w:space="0"/>
            </w:tcBorders>
            <w:tcMar>
              <w:top w:type="dxa" w:w="0"/>
              <w:left w:type="dxa" w:w="200"/>
              <w:bottom w:type="dxa" w:w="0"/>
              <w:right w:type="dxa" w:w="0"/>
            </w:tcMar>
          </w:tcPr>
          <w:p>
            <w:pPr>
              <w:pBdr>
                <w:bottom w:val="single" w:color="0D7C7B" w:sz="4" w:space="0"/>
              </w:pBdr>
              <w:spacing w:after="80" w:before="200" w:line="288" w:lineRule="auto"/>
            </w:pPr>
            <w:r>
              <w:rPr>
                <w:rFonts w:ascii="Calibri" w:cs="Calibri" w:eastAsia="Calibri" w:hAnsi="Calibri"/>
                <w:b/>
                <w:bCs/>
                <w:i w:val="false"/>
                <w:iCs w:val="false"/>
                <w:color w:val="0D7C7B"/>
                <w:sz w:val="24"/>
                <w:szCs w:val="24"/>
              </w:rPr>
              <w:t xml:space="preserve">Financial Structure (Developer Reference)</w:t>
            </w:r>
          </w:p>
          <w:tbl>
            <w:tblPr>
              <w:tblW w:type="dxa" w:w="9072"/>
              <w:tblBorders>
                <w:top w:val="single" w:color="CCCCCC" w:sz="1" w:space="0"/>
                <w:left w:val="single" w:color="CCCCCC" w:sz="1" w:space="0"/>
                <w:bottom w:val="single" w:color="CCCCCC" w:sz="1" w:space="0"/>
                <w:right w:val="single" w:color="CCCCCC" w:sz="1" w:space="0"/>
                <w:insideH w:val="single" w:color="auto" w:sz="4"/>
                <w:insideV w:val="single" w:color="auto" w:sz="4"/>
              </w:tblBorders>
            </w:tblPr>
            <w:tblGrid>
              <w:gridCol w:w="4400"/>
              <w:gridCol w:w="4672"/>
            </w:tblGrid>
            <w:tr>
              <w:trPr>
                <w:tblHeader/>
              </w:trPr>
              <w:tc>
                <w:tcPr>
                  <w:tcW w:type="dxa" w:w="4400"/>
                  <w:tcBorders>
                    <w:top w:val="single" w:color="0D7C7B" w:sz="1" w:space="0"/>
                    <w:left w:val="single" w:color="0D7C7B" w:sz="1" w:space="0"/>
                    <w:bottom w:val="single" w:color="0D7C7B" w:sz="1" w:space="0"/>
                    <w:right w:val="single" w:color="0D7C7B" w:sz="1" w:space="0"/>
                  </w:tcBorders>
                  <w:shd w:fill="0E2040" w:color="auto" w:val="clear"/>
                  <w:tcMar>
                    <w:top w:type="dxa" w:w="80"/>
                    <w:left w:type="dxa" w:w="120"/>
                    <w:bottom w:type="dxa" w:w="80"/>
                    <w:right w:type="dxa" w:w="80"/>
                  </w:tcMar>
                </w:tcPr>
                <w:p>
                  <w:pPr>
                    <w:spacing w:after="100" w:before="0" w:line="288" w:lineRule="auto"/>
                    <w:jc w:val="center"/>
                  </w:pPr>
                  <w:r>
                    <w:rPr>
                      <w:rFonts w:ascii="Calibri" w:cs="Calibri" w:eastAsia="Calibri" w:hAnsi="Calibri"/>
                      <w:b/>
                      <w:bCs/>
                      <w:i w:val="false"/>
                      <w:iCs w:val="false"/>
                      <w:color w:val="FFFFFF"/>
                      <w:sz w:val="18"/>
                      <w:szCs w:val="18"/>
                    </w:rPr>
                    <w:t xml:space="preserve">Item</w:t>
                  </w:r>
                </w:p>
              </w:tc>
              <w:tc>
                <w:tcPr>
                  <w:tcW w:type="dxa" w:w="4672"/>
                  <w:tcBorders>
                    <w:top w:val="single" w:color="0D7C7B" w:sz="1" w:space="0"/>
                    <w:left w:val="single" w:color="0D7C7B" w:sz="1" w:space="0"/>
                    <w:bottom w:val="single" w:color="0D7C7B" w:sz="1" w:space="0"/>
                    <w:right w:val="single" w:color="0D7C7B" w:sz="1" w:space="0"/>
                  </w:tcBorders>
                  <w:shd w:fill="0E2040" w:color="auto" w:val="clear"/>
                  <w:tcMar>
                    <w:top w:type="dxa" w:w="80"/>
                    <w:left w:type="dxa" w:w="120"/>
                    <w:bottom w:type="dxa" w:w="80"/>
                    <w:right w:type="dxa" w:w="80"/>
                  </w:tcMar>
                </w:tcPr>
                <w:p>
                  <w:pPr>
                    <w:spacing w:after="100" w:before="0" w:line="288" w:lineRule="auto"/>
                    <w:jc w:val="center"/>
                  </w:pPr>
                  <w:r>
                    <w:rPr>
                      <w:rFonts w:ascii="Calibri" w:cs="Calibri" w:eastAsia="Calibri" w:hAnsi="Calibri"/>
                      <w:b/>
                      <w:bCs/>
                      <w:i w:val="false"/>
                      <w:iCs w:val="false"/>
                      <w:color w:val="FFFFFF"/>
                      <w:sz w:val="18"/>
                      <w:szCs w:val="18"/>
                    </w:rPr>
                    <w:t xml:space="preserve">Value</w:t>
                  </w:r>
                </w:p>
              </w:tc>
            </w:tr>
            <w:tr>
              <w:tc>
                <w:tcPr>
                  <w:tcW w:type="dxa" w:w="44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Est. Capital Investment</w:t>
                  </w:r>
                </w:p>
              </w:tc>
              <w:tc>
                <w:tcPr>
                  <w:tcW w:type="dxa" w:w="4672"/>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bCs/>
                      <w:i w:val="false"/>
                      <w:iCs w:val="false"/>
                      <w:color w:val="A83D28"/>
                      <w:sz w:val="19"/>
                      <w:szCs w:val="19"/>
                    </w:rPr>
                    <w:t xml:space="preserve">$300–$340M</w:t>
                  </w:r>
                </w:p>
              </w:tc>
            </w:tr>
            <w:tr>
              <w:tc>
                <w:tcPr>
                  <w:tcW w:type="dxa" w:w="44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PILOT Agreement</w:t>
                  </w:r>
                </w:p>
              </w:tc>
              <w:tc>
                <w:tcPr>
                  <w:tcW w:type="dxa" w:w="4672"/>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bCs/>
                      <w:i w:val="false"/>
                      <w:iCs w:val="false"/>
                      <w:color w:val="0D7C7B"/>
                      <w:sz w:val="19"/>
                      <w:szCs w:val="19"/>
                    </w:rPr>
                    <w:t xml:space="preserve">$31M over 20 years ($1.55M/yr avg)</w:t>
                  </w:r>
                </w:p>
              </w:tc>
            </w:tr>
            <w:tr>
              <w:tc>
                <w:tcPr>
                  <w:tcW w:type="dxa" w:w="44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Host Community Agreement</w:t>
                  </w:r>
                </w:p>
              </w:tc>
              <w:tc>
                <w:tcPr>
                  <w:tcW w:type="dxa" w:w="4672"/>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$584K/yr — workforce development</w:t>
                  </w:r>
                </w:p>
              </w:tc>
            </w:tr>
            <w:tr>
              <w:tc>
                <w:tcPr>
                  <w:tcW w:type="dxa" w:w="44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Tax increase vs. prior use</w:t>
                  </w:r>
                </w:p>
              </w:tc>
              <w:tc>
                <w:tcPr>
                  <w:tcW w:type="dxa" w:w="4672"/>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bCs/>
                      <w:i w:val="false"/>
                      <w:iCs w:val="false"/>
                      <w:color w:val="A83D28"/>
                      <w:sz w:val="19"/>
                      <w:szCs w:val="19"/>
                    </w:rPr>
                    <w:t xml:space="preserve">29× (prior: $74K/yr)</w:t>
                  </w:r>
                </w:p>
              </w:tc>
            </w:tr>
            <w:tr>
              <w:tc>
                <w:tcPr>
                  <w:tcW w:type="dxa" w:w="44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Total lifetime community benefit</w:t>
                  </w:r>
                </w:p>
              </w:tc>
              <w:tc>
                <w:tcPr>
                  <w:tcW w:type="dxa" w:w="4672"/>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bCs/>
                      <w:i w:val="false"/>
                      <w:iCs w:val="false"/>
                      <w:color w:val="2A6145"/>
                      <w:sz w:val="19"/>
                      <w:szCs w:val="19"/>
                    </w:rPr>
                    <w:t xml:space="preserve">$45M+ (taxes + HCA + workforce)</w:t>
                  </w:r>
                </w:p>
              </w:tc>
            </w:tr>
            <w:tr>
              <w:tc>
                <w:tcPr>
                  <w:tcW w:type="dxa" w:w="44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Construction jobs</w:t>
                  </w:r>
                </w:p>
              </w:tc>
              <w:tc>
                <w:tcPr>
                  <w:tcW w:type="dxa" w:w="4672"/>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100–125 (Consigli Construction)</w:t>
                  </w:r>
                </w:p>
              </w:tc>
            </w:tr>
            <w:tr>
              <w:tc>
                <w:tcPr>
                  <w:tcW w:type="dxa" w:w="44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Permanent jobs</w:t>
                  </w:r>
                </w:p>
              </w:tc>
              <w:tc>
                <w:tcPr>
                  <w:tcW w:type="dxa" w:w="4672"/>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Automated; minimal on-site staff</w:t>
                  </w:r>
                </w:p>
              </w:tc>
            </w:tr>
            <w:tr>
              <w:tc>
                <w:tcPr>
                  <w:tcW w:type="dxa" w:w="44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Workforce commitment</w:t>
                  </w:r>
                </w:p>
              </w:tc>
              <w:tc>
                <w:tcPr>
                  <w:tcW w:type="dxa" w:w="4672"/>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$15M+ over 20 years — electrical, HVAC, technical certifications</w:t>
                  </w:r>
                </w:p>
              </w:tc>
            </w:tr>
            <w:tr>
              <w:tc>
                <w:tcPr>
                  <w:tcW w:type="dxa" w:w="44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Federal ITC</w:t>
                  </w:r>
                </w:p>
              </w:tc>
              <w:tc>
                <w:tcPr>
                  <w:tcW w:type="dxa" w:w="4672"/>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Up to 70% (EJ + prevailing wage + energy community)</w:t>
                  </w:r>
                </w:p>
              </w:tc>
            </w:tr>
          </w:tbl>
          <w:p>
            <w:pPr>
              <w:spacing w:after="0" w:before="80"/>
            </w:pPr>
            <w:r>
              <w:rPr>
                <w:sz w:val="2"/>
                <w:szCs w:val="2"/>
              </w:rPr>
              <w:t xml:space="preserve"/>
            </w:r>
          </w:p>
          <w:p>
            <w:pPr>
              <w:pBdr>
                <w:bottom w:val="single" w:color="A83D28" w:sz="4" w:space="0"/>
              </w:pBdr>
              <w:spacing w:after="80" w:before="200" w:line="288" w:lineRule="auto"/>
            </w:pPr>
            <w:r>
              <w:rPr>
                <w:rFonts w:ascii="Calibri" w:cs="Calibri" w:eastAsia="Calibri" w:hAnsi="Calibri"/>
                <w:b/>
                <w:bCs/>
                <w:i w:val="false"/>
                <w:iCs w:val="false"/>
                <w:color w:val="A83D28"/>
                <w:sz w:val="24"/>
                <w:szCs w:val="24"/>
              </w:rPr>
              <w:t xml:space="preserve">Community Engagement Model</w:t>
            </w:r>
          </w:p>
          <w:p>
            <w:pPr>
              <w:pStyle w:val="ListParagraph"/>
              <w:numPr>
                <w:ilvl w:val="0"/>
                <w:numId w:val="2"/>
              </w:numPr>
              <w:spacing w:after="50" w:before="50" w:line="272" w:lineRule="auto"/>
            </w:pPr>
            <w:r>
              <w:rPr>
                <w:rFonts w:ascii="Calibri" w:cs="Calibri" w:eastAsia="Calibri" w:hAnsi="Calibri"/>
                <w:b w:val="false"/>
                <w:bCs w:val="false"/>
                <w:i w:val="false"/>
                <w:iCs w:val="false"/>
                <w:color w:val="1A1A2E"/>
                <w:sz w:val="20"/>
                <w:szCs w:val="20"/>
              </w:rPr>
              <w:t xml:space="preserve">GreenRoots EJ organization as formal project partner from day one</w:t>
            </w:r>
          </w:p>
          <w:p>
            <w:pPr>
              <w:pStyle w:val="ListParagraph"/>
              <w:numPr>
                <w:ilvl w:val="0"/>
                <w:numId w:val="2"/>
              </w:numPr>
              <w:spacing w:after="50" w:before="50" w:line="272" w:lineRule="auto"/>
            </w:pPr>
            <w:r>
              <w:rPr>
                <w:rFonts w:ascii="Calibri" w:cs="Calibri" w:eastAsia="Calibri" w:hAnsi="Calibri"/>
                <w:b w:val="false"/>
                <w:bCs w:val="false"/>
                <w:i w:val="false"/>
                <w:iCs w:val="false"/>
                <w:color w:val="1A1A2E"/>
                <w:sz w:val="20"/>
                <w:szCs w:val="20"/>
              </w:rPr>
              <w:t xml:space="preserve">21-foot screening wall with white roof (urban heat island mitigation)</w:t>
            </w:r>
          </w:p>
          <w:p>
            <w:pPr>
              <w:pStyle w:val="ListParagraph"/>
              <w:numPr>
                <w:ilvl w:val="0"/>
                <w:numId w:val="2"/>
              </w:numPr>
              <w:spacing w:after="50" w:before="50" w:line="272" w:lineRule="auto"/>
            </w:pPr>
            <w:r>
              <w:rPr>
                <w:rFonts w:ascii="Calibri" w:cs="Calibri" w:eastAsia="Calibri" w:hAnsi="Calibri"/>
                <w:b w:val="false"/>
                <w:bCs w:val="false"/>
                <w:i w:val="false"/>
                <w:iCs w:val="false"/>
                <w:color w:val="1A1A2E"/>
                <w:sz w:val="20"/>
                <w:szCs w:val="20"/>
              </w:rPr>
              <w:t xml:space="preserve">Tree planting along Eastern Avenue industrial corridor</w:t>
            </w:r>
          </w:p>
          <w:p>
            <w:pPr>
              <w:pStyle w:val="ListParagraph"/>
              <w:numPr>
                <w:ilvl w:val="0"/>
                <w:numId w:val="2"/>
              </w:numPr>
              <w:spacing w:after="50" w:before="50" w:line="272" w:lineRule="auto"/>
            </w:pPr>
            <w:r>
              <w:rPr>
                <w:rFonts w:ascii="Calibri" w:cs="Calibri" w:eastAsia="Calibri" w:hAnsi="Calibri"/>
                <w:b w:val="false"/>
                <w:bCs w:val="false"/>
                <w:i w:val="false"/>
                <w:iCs w:val="false"/>
                <w:color w:val="1A1A2E"/>
                <w:sz w:val="20"/>
                <w:szCs w:val="20"/>
              </w:rPr>
              <w:t xml:space="preserve">Wrap-around services for workforce trainees’ families</w:t>
            </w:r>
          </w:p>
          <w:p>
            <w:pPr>
              <w:pStyle w:val="ListParagraph"/>
              <w:numPr>
                <w:ilvl w:val="0"/>
                <w:numId w:val="2"/>
              </w:numPr>
              <w:spacing w:after="50" w:before="50" w:line="272" w:lineRule="auto"/>
            </w:pPr>
            <w:r>
              <w:rPr>
                <w:rFonts w:ascii="Calibri" w:cs="Calibri" w:eastAsia="Calibri" w:hAnsi="Calibri"/>
                <w:b w:val="false"/>
                <w:bCs w:val="false"/>
                <w:i w:val="false"/>
                <w:iCs w:val="false"/>
                <w:color w:val="1A1A2E"/>
                <w:sz w:val="20"/>
                <w:szCs w:val="20"/>
              </w:rPr>
              <w:t xml:space="preserve">All permitting hearings conducted with community translation services</w:t>
            </w:r>
          </w:p>
          <w:p>
            <w:pPr>
              <w:spacing w:after="0" w:before="60"/>
            </w:pPr>
            <w:r>
              <w:rPr>
                <w:sz w:val="2"/>
                <w:szCs w:val="2"/>
              </w:rPr>
              <w:t xml:space="preserve"/>
            </w:r>
          </w:p>
          <w:tbl>
            <w:tblPr>
              <w:tblW w:type="dxa" w:w="9360"/>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360"/>
              <w:gridCol w:w="9000"/>
            </w:tblGrid>
            <w:tr>
              <w:tc>
                <w:tcPr>
                  <w:tcW w:type="dxa" w:w="360"/>
                  <w:tcBorders>
                    <w:top w:val="none" w:color="FFFFFF" w:sz="0" w:space="0"/>
                    <w:left w:val="single" w:color="2A6145" w:sz="12" w:space="0"/>
                    <w:bottom w:val="none" w:color="FFFFFF" w:sz="0" w:space="0"/>
                    <w:right w:val="none" w:color="FFFFFF" w:sz="0" w:space="0"/>
                  </w:tcBorders>
                  <w:shd w:fill="2A6145" w:color="auto" w:val="clear"/>
                  <w:tcMar>
                    <w:top w:type="dxa" w:w="100"/>
                    <w:left w:type="dxa" w:w="0"/>
                    <w:bottom w:type="dxa" w:w="100"/>
                    <w:right w:type="dxa" w:w="0"/>
                  </w:tcMar>
                </w:tcPr>
                <w:p>
                  <w:pPr>
                    <w:spacing w:after="100" w:before="0" w:line="288" w:lineRule="auto"/>
                    <w:jc w:val="left"/>
                  </w:pPr>
                  <w:r>
                    <w:rPr>
                      <w:rFonts w:ascii="Calibri" w:cs="Calibri" w:eastAsia="Calibri" w:hAnsi="Calibri"/>
                      <w:b w:val="false"/>
                      <w:bCs w:val="false"/>
                      <w:i w:val="false"/>
                      <w:iCs w:val="false"/>
                      <w:color w:val="1A1A2E"/>
                      <w:sz w:val="4"/>
                      <w:szCs w:val="4"/>
                    </w:rPr>
                    <w:t xml:space="preserve"/>
                  </w:r>
                </w:p>
              </w:tc>
              <w:tc>
                <w:tcPr>
                  <w:tcW w:type="dxa" w:w="9000"/>
                  <w:tcBorders>
                    <w:top w:val="single" w:color="AAAAAA" w:sz="1" w:space="0"/>
                    <w:left w:val="none" w:color="FFFFFF" w:sz="0" w:space="0"/>
                    <w:bottom w:val="single" w:color="AAAAAA" w:sz="1" w:space="0"/>
                    <w:right w:val="none" w:color="FFFFFF" w:sz="0" w:space="0"/>
                  </w:tcBorders>
                  <w:shd w:fill="F0F8F8" w:color="auto" w:val="clear"/>
                  <w:tcMar>
                    <w:top w:type="dxa" w:w="80"/>
                    <w:left w:type="dxa" w:w="200"/>
                    <w:bottom w:type="dxa" w:w="80"/>
                    <w:right w:type="dxa" w:w="120"/>
                  </w:tcMar>
                </w:tcPr>
                <w:p>
                  <w:pPr>
                    <w:spacing w:after="40" w:before="0" w:line="288" w:lineRule="auto"/>
                    <w:jc w:val="left"/>
                  </w:pPr>
                  <w:r>
                    <w:rPr>
                      <w:rFonts w:ascii="Calibri" w:cs="Calibri" w:eastAsia="Calibri" w:hAnsi="Calibri"/>
                      <w:b/>
                      <w:bCs/>
                      <w:i w:val="false"/>
                      <w:iCs w:val="false"/>
                      <w:color w:val="2A6145"/>
                      <w:sz w:val="17"/>
                      <w:szCs w:val="17"/>
                    </w:rPr>
                    <w:t xml:space="preserve">REPLICATION NOTE</w:t>
                  </w:r>
                </w:p>
                <w:p>
                  <w:pPr>
                    <w:spacing w:after="100" w:before="0" w:line="288" w:lineRule="auto"/>
                    <w:jc w:val="left"/>
                  </w:pPr>
                  <w:r>
                    <w:rPr>
                      <w:rFonts w:ascii="Calibri" w:cs="Calibri" w:eastAsia="Calibri" w:hAnsi="Calibri"/>
                      <w:b w:val="false"/>
                      <w:bCs w:val="false"/>
                      <w:i w:val="false"/>
                      <w:iCs w:val="false"/>
                      <w:color w:val="1A1A2E"/>
                      <w:sz w:val="19"/>
                      <w:szCs w:val="19"/>
                    </w:rPr>
                    <w:t xml:space="preserve">Chelsea’s success formula: industrial parcel + adjacent substation + EJ-first community engagement + pre-negotiated HCA before permitting begins + CIA documentation in hand at first Planning Board appearance. The HCA negotiation was completed before the ZBA hearing, removing the primary source of community opposition.</w:t>
                  </w:r>
                </w:p>
              </w:tc>
            </w:tr>
          </w:tbl>
          <w:p/>
        </w:tc>
      </w:tr>
    </w:tbl>
    <w:p>
      <w:pPr>
        <w:spacing w:after="0" w:before="80"/>
      </w:pPr>
      <w:r>
        <w:rPr>
          <w:sz w:val="2"/>
          <w:szCs w:val="2"/>
        </w:rPr>
        <w:t xml:space="preserve"/>
      </w:r>
    </w:p>
    <w:p>
      <w:r>
        <w:br w:type="page"/>
      </w:r>
    </w:p>
    <w:p>
      <w:pPr>
        <w:pBdr>
          <w:top w:val="single" w:color="0E2040" w:sz="2" w:space="0"/>
          <w:bottom w:val="single" w:color="0E2040" w:sz="10" w:space="0"/>
        </w:pBdr>
        <w:shd w:fill="E8EDF3" w:color="auto" w:val="clear"/>
        <w:spacing w:after="100" w:before="280" w:line="288" w:lineRule="auto"/>
      </w:pPr>
      <w:r>
        <w:rPr>
          <w:rFonts w:ascii="Calibri" w:cs="Calibri" w:eastAsia="Calibri" w:hAnsi="Calibri"/>
          <w:b/>
          <w:bCs/>
          <w:i w:val="false"/>
          <w:iCs w:val="false"/>
          <w:color w:val="0E2040"/>
          <w:sz w:val="28"/>
          <w:szCs w:val="28"/>
        </w:rPr>
        <w:t xml:space="preserve">6.  EVERETT, MA — DEVELOPER PROFILE: TRIMOUNT ESS PROJECT</w:t>
      </w:r>
    </w:p>
    <w:p>
      <w:pPr>
        <w:spacing w:after="80" w:before="40" w:line="288" w:lineRule="auto"/>
        <w:jc w:val="left"/>
      </w:pPr>
      <w:r>
        <w:rPr>
          <w:rFonts w:ascii="Calibri" w:cs="Calibri" w:eastAsia="Calibri" w:hAnsi="Calibri"/>
          <w:b w:val="false"/>
          <w:bCs w:val="false"/>
          <w:i w:val="false"/>
          <w:iCs w:val="false"/>
          <w:color w:val="1A1A2E"/>
          <w:sz w:val="20"/>
          <w:szCs w:val="20"/>
        </w:rPr>
        <w:t xml:space="preserve">Everett ranks first overall (119/125) in the five-layer composite scoring. The Trimount Energy Storage project is the largest permitted BESS facility in New England and the dominant case study for large-scale (&gt;100 MWh) EFSB-pathway development in Massachusetts.</w:t>
      </w:r>
    </w:p>
    <w:tbl>
      <w:tblPr>
        <w:tblW w:type="dxa" w:w="9360"/>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4400"/>
        <w:gridCol w:w="4672"/>
      </w:tblGrid>
      <w:tr>
        <w:tc>
          <w:tcPr>
            <w:tcW w:type="dxa" w:w="4400"/>
            <w:tcBorders>
              <w:top w:val="none" w:color="FFFFFF" w:sz="0" w:space="0"/>
              <w:left w:val="none" w:color="FFFFFF" w:sz="0" w:space="0"/>
              <w:bottom w:val="none" w:color="FFFFFF" w:sz="0" w:space="0"/>
              <w:right w:val="none" w:color="FFFFFF" w:sz="0" w:space="0"/>
            </w:tcBorders>
            <w:tcMar>
              <w:top w:type="dxa" w:w="0"/>
              <w:left w:type="dxa" w:w="0"/>
              <w:bottom w:type="dxa" w:w="0"/>
              <w:right w:type="dxa" w:w="200"/>
            </w:tcMar>
          </w:tcPr>
          <w:p>
            <w:pPr>
              <w:pBdr>
                <w:bottom w:val="single" w:color="0D7C7B" w:sz="4" w:space="0"/>
              </w:pBdr>
              <w:spacing w:after="80" w:before="200" w:line="288" w:lineRule="auto"/>
            </w:pPr>
            <w:r>
              <w:rPr>
                <w:rFonts w:ascii="Calibri" w:cs="Calibri" w:eastAsia="Calibri" w:hAnsi="Calibri"/>
                <w:b/>
                <w:bCs/>
                <w:i w:val="false"/>
                <w:iCs w:val="false"/>
                <w:color w:val="0D7C7B"/>
                <w:sz w:val="24"/>
                <w:szCs w:val="24"/>
              </w:rPr>
              <w:t xml:space="preserve">Composite Score Breakdown</w:t>
            </w:r>
          </w:p>
          <w:p>
            <w:pPr>
              <w:spacing w:after="40" w:before="40" w:line="264" w:lineRule="auto"/>
              <w:jc w:val="left"/>
            </w:pPr>
            <w:r>
              <w:rPr>
                <w:rFonts w:ascii="Calibri" w:cs="Calibri" w:eastAsia="Calibri" w:hAnsi="Calibri"/>
                <w:b/>
                <w:bCs/>
                <w:i w:val="false"/>
                <w:iCs w:val="false"/>
                <w:color w:val="1A1A2E"/>
                <w:sz w:val="19"/>
                <w:szCs w:val="19"/>
              </w:rPr>
              <w:t xml:space="preserve">EJ &amp; Regulatory               </w:t>
            </w:r>
            <w:r>
              <w:rPr>
                <w:rFonts w:ascii="Calibri" w:cs="Calibri" w:eastAsia="Calibri" w:hAnsi="Calibri"/>
                <w:b w:val="false"/>
                <w:bCs w:val="false"/>
                <w:i w:val="false"/>
                <w:iCs w:val="false"/>
                <w:color w:val="A83D28"/>
                <w:sz w:val="14"/>
                <w:szCs w:val="14"/>
              </w:rPr>
              <w:t xml:space="preserve">■■■■■■■■■■■■■■■■■■■■</w:t>
            </w:r>
            <w:r>
              <w:rPr>
                <w:rFonts w:ascii="Calibri" w:cs="Calibri" w:eastAsia="Calibri" w:hAnsi="Calibri"/>
                <w:b/>
                <w:bCs/>
                <w:i w:val="false"/>
                <w:iCs w:val="false"/>
                <w:color w:val="A83D28"/>
                <w:sz w:val="19"/>
                <w:szCs w:val="19"/>
              </w:rPr>
              <w:t xml:space="preserve"> 25/25</w:t>
            </w:r>
          </w:p>
          <w:p>
            <w:pPr>
              <w:spacing w:after="40" w:before="40" w:line="264" w:lineRule="auto"/>
              <w:jc w:val="left"/>
            </w:pPr>
            <w:r>
              <w:rPr>
                <w:rFonts w:ascii="Calibri" w:cs="Calibri" w:eastAsia="Calibri" w:hAnsi="Calibri"/>
                <w:b/>
                <w:bCs/>
                <w:i w:val="false"/>
                <w:iCs w:val="false"/>
                <w:color w:val="1A1A2E"/>
                <w:sz w:val="19"/>
                <w:szCs w:val="19"/>
              </w:rPr>
              <w:t xml:space="preserve">Grid Feasibility              </w:t>
            </w:r>
            <w:r>
              <w:rPr>
                <w:rFonts w:ascii="Calibri" w:cs="Calibri" w:eastAsia="Calibri" w:hAnsi="Calibri"/>
                <w:b w:val="false"/>
                <w:bCs w:val="false"/>
                <w:i w:val="false"/>
                <w:iCs w:val="false"/>
                <w:color w:val="0D7C7B"/>
                <w:sz w:val="14"/>
                <w:szCs w:val="14"/>
              </w:rPr>
              <w:t xml:space="preserve">■■■■■■■■■■■■■■■■■■■■</w:t>
            </w:r>
            <w:r>
              <w:rPr>
                <w:rFonts w:ascii="Calibri" w:cs="Calibri" w:eastAsia="Calibri" w:hAnsi="Calibri"/>
                <w:b/>
                <w:bCs/>
                <w:i w:val="false"/>
                <w:iCs w:val="false"/>
                <w:color w:val="0D7C7B"/>
                <w:sz w:val="19"/>
                <w:szCs w:val="19"/>
              </w:rPr>
              <w:t xml:space="preserve"> 25/25</w:t>
            </w:r>
          </w:p>
          <w:p>
            <w:pPr>
              <w:spacing w:after="40" w:before="40" w:line="264" w:lineRule="auto"/>
              <w:jc w:val="left"/>
            </w:pPr>
            <w:r>
              <w:rPr>
                <w:rFonts w:ascii="Calibri" w:cs="Calibri" w:eastAsia="Calibri" w:hAnsi="Calibri"/>
                <w:b/>
                <w:bCs/>
                <w:i w:val="false"/>
                <w:iCs w:val="false"/>
                <w:color w:val="1A1A2E"/>
                <w:sz w:val="19"/>
                <w:szCs w:val="19"/>
              </w:rPr>
              <w:t xml:space="preserve">Zoning &amp; Permitting           </w:t>
            </w:r>
            <w:r>
              <w:rPr>
                <w:rFonts w:ascii="Calibri" w:cs="Calibri" w:eastAsia="Calibri" w:hAnsi="Calibri"/>
                <w:b w:val="false"/>
                <w:bCs w:val="false"/>
                <w:i w:val="false"/>
                <w:iCs w:val="false"/>
                <w:color w:val="3A5278"/>
                <w:sz w:val="14"/>
                <w:szCs w:val="14"/>
              </w:rPr>
              <w:t xml:space="preserve">■■■■■■■■■■■■■■■■■■□□</w:t>
            </w:r>
            <w:r>
              <w:rPr>
                <w:rFonts w:ascii="Calibri" w:cs="Calibri" w:eastAsia="Calibri" w:hAnsi="Calibri"/>
                <w:b/>
                <w:bCs/>
                <w:i w:val="false"/>
                <w:iCs w:val="false"/>
                <w:color w:val="3A5278"/>
                <w:sz w:val="19"/>
                <w:szCs w:val="19"/>
              </w:rPr>
              <w:t xml:space="preserve"> 22/25</w:t>
            </w:r>
          </w:p>
          <w:p>
            <w:pPr>
              <w:spacing w:after="40" w:before="40" w:line="264" w:lineRule="auto"/>
              <w:jc w:val="left"/>
            </w:pPr>
            <w:r>
              <w:rPr>
                <w:rFonts w:ascii="Calibri" w:cs="Calibri" w:eastAsia="Calibri" w:hAnsi="Calibri"/>
                <w:b/>
                <w:bCs/>
                <w:i w:val="false"/>
                <w:iCs w:val="false"/>
                <w:color w:val="1A1A2E"/>
                <w:sz w:val="19"/>
                <w:szCs w:val="19"/>
              </w:rPr>
              <w:t xml:space="preserve">Physical Feasibility          </w:t>
            </w:r>
            <w:r>
              <w:rPr>
                <w:rFonts w:ascii="Calibri" w:cs="Calibri" w:eastAsia="Calibri" w:hAnsi="Calibri"/>
                <w:b w:val="false"/>
                <w:bCs w:val="false"/>
                <w:i w:val="false"/>
                <w:iCs w:val="false"/>
                <w:color w:val="2A6145"/>
                <w:sz w:val="14"/>
                <w:szCs w:val="14"/>
              </w:rPr>
              <w:t xml:space="preserve">■■■■■■■■■■■■■■■■■■■□</w:t>
            </w:r>
            <w:r>
              <w:rPr>
                <w:rFonts w:ascii="Calibri" w:cs="Calibri" w:eastAsia="Calibri" w:hAnsi="Calibri"/>
                <w:b/>
                <w:bCs/>
                <w:i w:val="false"/>
                <w:iCs w:val="false"/>
                <w:color w:val="2A6145"/>
                <w:sz w:val="19"/>
                <w:szCs w:val="19"/>
              </w:rPr>
              <w:t xml:space="preserve"> 24/25</w:t>
            </w:r>
          </w:p>
          <w:p>
            <w:pPr>
              <w:spacing w:after="40" w:before="40" w:line="264" w:lineRule="auto"/>
              <w:jc w:val="left"/>
            </w:pPr>
            <w:r>
              <w:rPr>
                <w:rFonts w:ascii="Calibri" w:cs="Calibri" w:eastAsia="Calibri" w:hAnsi="Calibri"/>
                <w:b/>
                <w:bCs/>
                <w:i w:val="false"/>
                <w:iCs w:val="false"/>
                <w:color w:val="1A1A2E"/>
                <w:sz w:val="19"/>
                <w:szCs w:val="19"/>
              </w:rPr>
              <w:t xml:space="preserve">Revenue Potential             </w:t>
            </w:r>
            <w:r>
              <w:rPr>
                <w:rFonts w:ascii="Calibri" w:cs="Calibri" w:eastAsia="Calibri" w:hAnsi="Calibri"/>
                <w:b w:val="false"/>
                <w:bCs w:val="false"/>
                <w:i w:val="false"/>
                <w:iCs w:val="false"/>
                <w:color w:val="C68A17"/>
                <w:sz w:val="14"/>
                <w:szCs w:val="14"/>
              </w:rPr>
              <w:t xml:space="preserve">■■■■■■■■■■■■■■■■■■□□</w:t>
            </w:r>
            <w:r>
              <w:rPr>
                <w:rFonts w:ascii="Calibri" w:cs="Calibri" w:eastAsia="Calibri" w:hAnsi="Calibri"/>
                <w:b/>
                <w:bCs/>
                <w:i w:val="false"/>
                <w:iCs w:val="false"/>
                <w:color w:val="C68A17"/>
                <w:sz w:val="19"/>
                <w:szCs w:val="19"/>
              </w:rPr>
              <w:t xml:space="preserve"> 23/25</w:t>
            </w:r>
          </w:p>
          <w:p>
            <w:pPr>
              <w:pBdr>
                <w:top w:val="single" w:color="0D7C7B" w:sz="4" w:space="0"/>
                <w:bottom w:val="single" w:color="0D7C7B" w:sz="4" w:space="0"/>
              </w:pBdr>
              <w:spacing w:after="80" w:before="80" w:line="288" w:lineRule="auto"/>
              <w:jc w:val="center"/>
            </w:pPr>
            <w:r>
              <w:rPr>
                <w:rFonts w:ascii="Calibri" w:cs="Calibri" w:eastAsia="Calibri" w:hAnsi="Calibri"/>
                <w:b/>
                <w:bCs/>
                <w:i w:val="false"/>
                <w:iCs w:val="false"/>
                <w:color w:val="0D7C7B"/>
                <w:sz w:val="22"/>
                <w:szCs w:val="22"/>
              </w:rPr>
              <w:t xml:space="preserve">COMPOSITE: 119 / 125</w:t>
            </w:r>
          </w:p>
          <w:p>
            <w:pPr>
              <w:pBdr>
                <w:bottom w:val="single" w:color="0D7C7B" w:sz="4" w:space="0"/>
              </w:pBdr>
              <w:spacing w:after="80" w:before="200" w:line="288" w:lineRule="auto"/>
            </w:pPr>
            <w:r>
              <w:rPr>
                <w:rFonts w:ascii="Calibri" w:cs="Calibri" w:eastAsia="Calibri" w:hAnsi="Calibri"/>
                <w:b/>
                <w:bCs/>
                <w:i w:val="false"/>
                <w:iCs w:val="false"/>
                <w:color w:val="0D7C7B"/>
                <w:sz w:val="24"/>
                <w:szCs w:val="24"/>
              </w:rPr>
              <w:t xml:space="preserve">Key Developer Parameters</w:t>
            </w:r>
          </w:p>
          <w:p>
            <w:pPr>
              <w:pStyle w:val="ListParagraph"/>
              <w:numPr>
                <w:ilvl w:val="0"/>
                <w:numId w:val="2"/>
              </w:numPr>
              <w:spacing w:after="50" w:before="50" w:line="272" w:lineRule="auto"/>
            </w:pPr>
            <w:r>
              <w:rPr>
                <w:rFonts w:ascii="Calibri" w:cs="Calibri" w:eastAsia="Calibri" w:hAnsi="Calibri"/>
                <w:b w:val="false"/>
                <w:bCs w:val="false"/>
                <w:i w:val="false"/>
                <w:iCs w:val="false"/>
                <w:color w:val="1A1A2E"/>
                <w:sz w:val="20"/>
                <w:szCs w:val="20"/>
              </w:rPr>
              <w:t xml:space="preserve">Site: 52 Beacham Street, Everett (20.75 acres, I-2 Heavy Industrial)</w:t>
            </w:r>
          </w:p>
          <w:p>
            <w:pPr>
              <w:pStyle w:val="ListParagraph"/>
              <w:numPr>
                <w:ilvl w:val="0"/>
                <w:numId w:val="2"/>
              </w:numPr>
              <w:spacing w:after="50" w:before="50" w:line="272" w:lineRule="auto"/>
            </w:pPr>
            <w:r>
              <w:rPr>
                <w:rFonts w:ascii="Calibri" w:cs="Calibri" w:eastAsia="Calibri" w:hAnsi="Calibri"/>
                <w:b w:val="false"/>
                <w:bCs w:val="false"/>
                <w:i w:val="false"/>
                <w:iCs w:val="false"/>
                <w:color w:val="1A1A2E"/>
                <w:sz w:val="20"/>
                <w:szCs w:val="20"/>
              </w:rPr>
              <w:t xml:space="preserve">Developer: Jupiter Power (BlackRock platform)</w:t>
            </w:r>
          </w:p>
          <w:p>
            <w:pPr>
              <w:pStyle w:val="ListParagraph"/>
              <w:numPr>
                <w:ilvl w:val="0"/>
                <w:numId w:val="2"/>
              </w:numPr>
              <w:spacing w:after="50" w:before="50" w:line="272" w:lineRule="auto"/>
            </w:pPr>
            <w:r>
              <w:rPr>
                <w:rFonts w:ascii="Calibri" w:cs="Calibri" w:eastAsia="Calibri" w:hAnsi="Calibri"/>
                <w:b w:val="false"/>
                <w:bCs w:val="false"/>
                <w:i w:val="false"/>
                <w:iCs w:val="false"/>
                <w:color w:val="1A1A2E"/>
                <w:sz w:val="20"/>
                <w:szCs w:val="20"/>
              </w:rPr>
              <w:t xml:space="preserve">Technology: Hithium LFP containerized units</w:t>
            </w:r>
          </w:p>
          <w:p>
            <w:pPr>
              <w:pStyle w:val="ListParagraph"/>
              <w:numPr>
                <w:ilvl w:val="0"/>
                <w:numId w:val="2"/>
              </w:numPr>
              <w:spacing w:after="50" w:before="50" w:line="272" w:lineRule="auto"/>
            </w:pPr>
            <w:r>
              <w:rPr>
                <w:rFonts w:ascii="Calibri" w:cs="Calibri" w:eastAsia="Calibri" w:hAnsi="Calibri"/>
                <w:b w:val="false"/>
                <w:bCs w:val="false"/>
                <w:i w:val="false"/>
                <w:iCs w:val="false"/>
                <w:color w:val="1A1A2E"/>
                <w:sz w:val="20"/>
                <w:szCs w:val="20"/>
              </w:rPr>
              <w:t xml:space="preserve">Setback: 50 ft (I-2 industrial zone)</w:t>
            </w:r>
          </w:p>
          <w:p>
            <w:pPr>
              <w:pStyle w:val="ListParagraph"/>
              <w:numPr>
                <w:ilvl w:val="0"/>
                <w:numId w:val="2"/>
              </w:numPr>
              <w:spacing w:after="50" w:before="50" w:line="272" w:lineRule="auto"/>
            </w:pPr>
            <w:r>
              <w:rPr>
                <w:rFonts w:ascii="Calibri" w:cs="Calibri" w:eastAsia="Calibri" w:hAnsi="Calibri"/>
                <w:b w:val="false"/>
                <w:bCs w:val="false"/>
                <w:i w:val="false"/>
                <w:iCs w:val="false"/>
                <w:color w:val="1A1A2E"/>
                <w:sz w:val="20"/>
                <w:szCs w:val="20"/>
              </w:rPr>
              <w:t xml:space="preserve">Permitting: EFSB Docket 25-05 → Final approval February 27, 2026</w:t>
            </w:r>
          </w:p>
          <w:p>
            <w:pPr>
              <w:pStyle w:val="ListParagraph"/>
              <w:numPr>
                <w:ilvl w:val="0"/>
                <w:numId w:val="2"/>
              </w:numPr>
              <w:spacing w:after="50" w:before="50" w:line="272" w:lineRule="auto"/>
            </w:pPr>
            <w:r>
              <w:rPr>
                <w:rFonts w:ascii="Calibri" w:cs="Calibri" w:eastAsia="Calibri" w:hAnsi="Calibri"/>
                <w:b w:val="false"/>
                <w:bCs w:val="false"/>
                <w:i w:val="false"/>
                <w:iCs w:val="false"/>
                <w:color w:val="1A1A2E"/>
                <w:sz w:val="20"/>
                <w:szCs w:val="20"/>
              </w:rPr>
              <w:t xml:space="preserve">Section 83E Round 1: Selected December 19, 2025</w:t>
            </w:r>
          </w:p>
          <w:p>
            <w:pPr>
              <w:pStyle w:val="ListParagraph"/>
              <w:numPr>
                <w:ilvl w:val="0"/>
                <w:numId w:val="2"/>
              </w:numPr>
              <w:spacing w:after="50" w:before="50" w:line="272" w:lineRule="auto"/>
            </w:pPr>
            <w:r>
              <w:rPr>
                <w:rFonts w:ascii="Calibri" w:cs="Calibri" w:eastAsia="Calibri" w:hAnsi="Calibri"/>
                <w:b w:val="false"/>
                <w:bCs w:val="false"/>
                <w:i w:val="false"/>
                <w:iCs w:val="false"/>
                <w:color w:val="1A1A2E"/>
                <w:sz w:val="20"/>
                <w:szCs w:val="20"/>
              </w:rPr>
              <w:t xml:space="preserve">Grid connection: Two underground lines (115 kV + 345 kV) to Mystic Substation</w:t>
            </w:r>
          </w:p>
          <w:p>
            <w:pPr>
              <w:pStyle w:val="ListParagraph"/>
              <w:numPr>
                <w:ilvl w:val="0"/>
                <w:numId w:val="2"/>
              </w:numPr>
              <w:spacing w:after="50" w:before="50" w:line="272" w:lineRule="auto"/>
            </w:pPr>
            <w:r>
              <w:rPr>
                <w:rFonts w:ascii="Calibri" w:cs="Calibri" w:eastAsia="Calibri" w:hAnsi="Calibri"/>
                <w:b w:val="false"/>
                <w:bCs w:val="false"/>
                <w:i w:val="false"/>
                <w:iCs w:val="false"/>
                <w:color w:val="1A1A2E"/>
                <w:sz w:val="20"/>
                <w:szCs w:val="20"/>
              </w:rPr>
              <w:t xml:space="preserve">Utility: Eversource (Mystic 345 kV substation, 0.2 mi)</w:t>
            </w:r>
          </w:p>
          <w:p>
            <w:pPr>
              <w:pStyle w:val="ListParagraph"/>
              <w:numPr>
                <w:ilvl w:val="0"/>
                <w:numId w:val="2"/>
              </w:numPr>
              <w:spacing w:after="50" w:before="50" w:line="272" w:lineRule="auto"/>
            </w:pPr>
            <w:r>
              <w:rPr>
                <w:rFonts w:ascii="Calibri" w:cs="Calibri" w:eastAsia="Calibri" w:hAnsi="Calibri"/>
                <w:b w:val="false"/>
                <w:bCs w:val="false"/>
                <w:i w:val="false"/>
                <w:iCs w:val="false"/>
                <w:color w:val="1A1A2E"/>
                <w:sz w:val="20"/>
                <w:szCs w:val="20"/>
              </w:rPr>
              <w:t xml:space="preserve">ISO-NE zone: SENE (highest hosting capacity in study area)</w:t>
            </w:r>
          </w:p>
        </w:tc>
        <w:tc>
          <w:tcPr>
            <w:tcW w:type="dxa" w:w="4672"/>
            <w:tcBorders>
              <w:top w:val="none" w:color="FFFFFF" w:sz="0" w:space="0"/>
              <w:left w:val="single" w:color="E8EDF3" w:sz="2" w:space="0"/>
              <w:bottom w:val="none" w:color="FFFFFF" w:sz="0" w:space="0"/>
              <w:right w:val="none" w:color="FFFFFF" w:sz="0" w:space="0"/>
            </w:tcBorders>
            <w:tcMar>
              <w:top w:type="dxa" w:w="0"/>
              <w:left w:type="dxa" w:w="200"/>
              <w:bottom w:type="dxa" w:w="0"/>
              <w:right w:type="dxa" w:w="0"/>
            </w:tcMar>
          </w:tcPr>
          <w:p>
            <w:pPr>
              <w:pBdr>
                <w:bottom w:val="single" w:color="0D7C7B" w:sz="4" w:space="0"/>
              </w:pBdr>
              <w:spacing w:after="80" w:before="200" w:line="288" w:lineRule="auto"/>
            </w:pPr>
            <w:r>
              <w:rPr>
                <w:rFonts w:ascii="Calibri" w:cs="Calibri" w:eastAsia="Calibri" w:hAnsi="Calibri"/>
                <w:b/>
                <w:bCs/>
                <w:i w:val="false"/>
                <w:iCs w:val="false"/>
                <w:color w:val="0D7C7B"/>
                <w:sz w:val="24"/>
                <w:szCs w:val="24"/>
              </w:rPr>
              <w:t xml:space="preserve">Financial Structure (Developer Reference)</w:t>
            </w:r>
          </w:p>
          <w:tbl>
            <w:tblPr>
              <w:tblW w:type="dxa" w:w="9072"/>
              <w:tblBorders>
                <w:top w:val="single" w:color="CCCCCC" w:sz="1" w:space="0"/>
                <w:left w:val="single" w:color="CCCCCC" w:sz="1" w:space="0"/>
                <w:bottom w:val="single" w:color="CCCCCC" w:sz="1" w:space="0"/>
                <w:right w:val="single" w:color="CCCCCC" w:sz="1" w:space="0"/>
                <w:insideH w:val="single" w:color="auto" w:sz="4"/>
                <w:insideV w:val="single" w:color="auto" w:sz="4"/>
              </w:tblBorders>
            </w:tblPr>
            <w:tblGrid>
              <w:gridCol w:w="4400"/>
              <w:gridCol w:w="4672"/>
            </w:tblGrid>
            <w:tr>
              <w:trPr>
                <w:tblHeader/>
              </w:trPr>
              <w:tc>
                <w:tcPr>
                  <w:tcW w:type="dxa" w:w="4400"/>
                  <w:tcBorders>
                    <w:top w:val="single" w:color="0D7C7B" w:sz="1" w:space="0"/>
                    <w:left w:val="single" w:color="0D7C7B" w:sz="1" w:space="0"/>
                    <w:bottom w:val="single" w:color="0D7C7B" w:sz="1" w:space="0"/>
                    <w:right w:val="single" w:color="0D7C7B" w:sz="1" w:space="0"/>
                  </w:tcBorders>
                  <w:shd w:fill="0E2040" w:color="auto" w:val="clear"/>
                  <w:tcMar>
                    <w:top w:type="dxa" w:w="80"/>
                    <w:left w:type="dxa" w:w="120"/>
                    <w:bottom w:type="dxa" w:w="80"/>
                    <w:right w:type="dxa" w:w="80"/>
                  </w:tcMar>
                </w:tcPr>
                <w:p>
                  <w:pPr>
                    <w:spacing w:after="100" w:before="0" w:line="288" w:lineRule="auto"/>
                    <w:jc w:val="center"/>
                  </w:pPr>
                  <w:r>
                    <w:rPr>
                      <w:rFonts w:ascii="Calibri" w:cs="Calibri" w:eastAsia="Calibri" w:hAnsi="Calibri"/>
                      <w:b/>
                      <w:bCs/>
                      <w:i w:val="false"/>
                      <w:iCs w:val="false"/>
                      <w:color w:val="FFFFFF"/>
                      <w:sz w:val="18"/>
                      <w:szCs w:val="18"/>
                    </w:rPr>
                    <w:t xml:space="preserve">Item</w:t>
                  </w:r>
                </w:p>
              </w:tc>
              <w:tc>
                <w:tcPr>
                  <w:tcW w:type="dxa" w:w="4672"/>
                  <w:tcBorders>
                    <w:top w:val="single" w:color="0D7C7B" w:sz="1" w:space="0"/>
                    <w:left w:val="single" w:color="0D7C7B" w:sz="1" w:space="0"/>
                    <w:bottom w:val="single" w:color="0D7C7B" w:sz="1" w:space="0"/>
                    <w:right w:val="single" w:color="0D7C7B" w:sz="1" w:space="0"/>
                  </w:tcBorders>
                  <w:shd w:fill="0E2040" w:color="auto" w:val="clear"/>
                  <w:tcMar>
                    <w:top w:type="dxa" w:w="80"/>
                    <w:left w:type="dxa" w:w="120"/>
                    <w:bottom w:type="dxa" w:w="80"/>
                    <w:right w:type="dxa" w:w="80"/>
                  </w:tcMar>
                </w:tcPr>
                <w:p>
                  <w:pPr>
                    <w:spacing w:after="100" w:before="0" w:line="288" w:lineRule="auto"/>
                    <w:jc w:val="center"/>
                  </w:pPr>
                  <w:r>
                    <w:rPr>
                      <w:rFonts w:ascii="Calibri" w:cs="Calibri" w:eastAsia="Calibri" w:hAnsi="Calibri"/>
                      <w:b/>
                      <w:bCs/>
                      <w:i w:val="false"/>
                      <w:iCs w:val="false"/>
                      <w:color w:val="FFFFFF"/>
                      <w:sz w:val="18"/>
                      <w:szCs w:val="18"/>
                    </w:rPr>
                    <w:t xml:space="preserve">Value</w:t>
                  </w:r>
                </w:p>
              </w:tc>
            </w:tr>
            <w:tr>
              <w:tc>
                <w:tcPr>
                  <w:tcW w:type="dxa" w:w="44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Total Capital Investment</w:t>
                  </w:r>
                </w:p>
              </w:tc>
              <w:tc>
                <w:tcPr>
                  <w:tcW w:type="dxa" w:w="4672"/>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bCs/>
                      <w:i w:val="false"/>
                      <w:iCs w:val="false"/>
                      <w:color w:val="A83D28"/>
                      <w:sz w:val="19"/>
                      <w:szCs w:val="19"/>
                    </w:rPr>
                    <w:t xml:space="preserve">&gt;$1 billion</w:t>
                  </w:r>
                </w:p>
              </w:tc>
            </w:tr>
            <w:tr>
              <w:tc>
                <w:tcPr>
                  <w:tcW w:type="dxa" w:w="44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Land acquisition</w:t>
                  </w:r>
                </w:p>
              </w:tc>
              <w:tc>
                <w:tcPr>
                  <w:tcW w:type="dxa" w:w="4672"/>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$72.5M (The Davis Companies, from ExxonMobil)</w:t>
                  </w:r>
                </w:p>
              </w:tc>
            </w:tr>
            <w:tr>
              <w:tc>
                <w:tcPr>
                  <w:tcW w:type="dxa" w:w="44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Environmental cleanup</w:t>
                  </w:r>
                </w:p>
              </w:tc>
              <w:tc>
                <w:tcPr>
                  <w:tcW w:type="dxa" w:w="4672"/>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~$100M (largest MA Brownfields Covenant Not to Sue in history)</w:t>
                  </w:r>
                </w:p>
              </w:tc>
            </w:tr>
            <w:tr>
              <w:tc>
                <w:tcPr>
                  <w:tcW w:type="dxa" w:w="44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Tax revenue</w:t>
                  </w:r>
                </w:p>
              </w:tc>
              <w:tc>
                <w:tcPr>
                  <w:tcW w:type="dxa" w:w="4672"/>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$2.5M/yr avg over 20 years (vs. prior $200–$300K/yr — 20× increase)</w:t>
                  </w:r>
                </w:p>
              </w:tc>
            </w:tr>
            <w:tr>
              <w:tc>
                <w:tcPr>
                  <w:tcW w:type="dxa" w:w="44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Total 20-year tax contribution</w:t>
                  </w:r>
                </w:p>
              </w:tc>
              <w:tc>
                <w:tcPr>
                  <w:tcW w:type="dxa" w:w="4672"/>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bCs/>
                      <w:i w:val="false"/>
                      <w:iCs w:val="false"/>
                      <w:color w:val="0D7C7B"/>
                      <w:sz w:val="19"/>
                      <w:szCs w:val="19"/>
                    </w:rPr>
                    <w:t xml:space="preserve">$50M+ (Jupiter Power estimate)</w:t>
                  </w:r>
                </w:p>
              </w:tc>
            </w:tr>
            <w:tr>
              <w:tc>
                <w:tcPr>
                  <w:tcW w:type="dxa" w:w="44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Transmission deferral</w:t>
                  </w:r>
                </w:p>
              </w:tc>
              <w:tc>
                <w:tcPr>
                  <w:tcW w:type="dxa" w:w="4672"/>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bCs/>
                      <w:i w:val="false"/>
                      <w:iCs w:val="false"/>
                      <w:color w:val="C68A17"/>
                      <w:sz w:val="19"/>
                      <w:szCs w:val="19"/>
                    </w:rPr>
                    <w:t xml:space="preserve">$2.2B (Jupiter Power bid estimate; not independently verified)</w:t>
                  </w:r>
                </w:p>
              </w:tc>
            </w:tr>
            <w:tr>
              <w:tc>
                <w:tcPr>
                  <w:tcW w:type="dxa" w:w="44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Construction jobs</w:t>
                  </w:r>
                </w:p>
              </w:tc>
              <w:tc>
                <w:tcPr>
                  <w:tcW w:type="dxa" w:w="4672"/>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Hundreds (Project Labor Agreement; union labor)</w:t>
                  </w:r>
                </w:p>
              </w:tc>
            </w:tr>
            <w:tr>
              <w:tc>
                <w:tcPr>
                  <w:tcW w:type="dxa" w:w="44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Apprenticeship</w:t>
                  </w:r>
                </w:p>
              </w:tc>
              <w:tc>
                <w:tcPr>
                  <w:tcW w:type="dxa" w:w="4672"/>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Everett High School pipeline; local hiring preference</w:t>
                  </w:r>
                </w:p>
              </w:tc>
            </w:tr>
            <w:tr>
              <w:tc>
                <w:tcPr>
                  <w:tcW w:type="dxa" w:w="44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Federal ITC</w:t>
                  </w:r>
                </w:p>
              </w:tc>
              <w:tc>
                <w:tcPr>
                  <w:tcW w:type="dxa" w:w="4672"/>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Up to 70% (brownfield + EJ + prevailing wage + domestic content)</w:t>
                  </w:r>
                </w:p>
              </w:tc>
            </w:tr>
            <w:tr>
              <w:tc>
                <w:tcPr>
                  <w:tcW w:type="dxa" w:w="44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Capacity market (FCA 18)</w:t>
                  </w:r>
                </w:p>
              </w:tc>
              <w:tc>
                <w:tcPr>
                  <w:tcW w:type="dxa" w:w="4672"/>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$42.96/kW-yr = ~$30M/yr for 700 MW facility</w:t>
                  </w:r>
                </w:p>
              </w:tc>
            </w:tr>
          </w:tbl>
          <w:p>
            <w:pPr>
              <w:spacing w:after="0" w:before="80"/>
            </w:pPr>
            <w:r>
              <w:rPr>
                <w:sz w:val="2"/>
                <w:szCs w:val="2"/>
              </w:rPr>
              <w:t xml:space="preserve"/>
            </w:r>
          </w:p>
          <w:tbl>
            <w:tblPr>
              <w:tblW w:type="dxa" w:w="9360"/>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360"/>
              <w:gridCol w:w="9000"/>
            </w:tblGrid>
            <w:tr>
              <w:tc>
                <w:tcPr>
                  <w:tcW w:type="dxa" w:w="360"/>
                  <w:tcBorders>
                    <w:top w:val="none" w:color="FFFFFF" w:sz="0" w:space="0"/>
                    <w:left w:val="single" w:color="0D7C7B" w:sz="12" w:space="0"/>
                    <w:bottom w:val="none" w:color="FFFFFF" w:sz="0" w:space="0"/>
                    <w:right w:val="none" w:color="FFFFFF" w:sz="0" w:space="0"/>
                  </w:tcBorders>
                  <w:shd w:fill="0D7C7B" w:color="auto" w:val="clear"/>
                  <w:tcMar>
                    <w:top w:type="dxa" w:w="100"/>
                    <w:left w:type="dxa" w:w="0"/>
                    <w:bottom w:type="dxa" w:w="100"/>
                    <w:right w:type="dxa" w:w="0"/>
                  </w:tcMar>
                </w:tcPr>
                <w:p>
                  <w:pPr>
                    <w:spacing w:after="100" w:before="0" w:line="288" w:lineRule="auto"/>
                    <w:jc w:val="left"/>
                  </w:pPr>
                  <w:r>
                    <w:rPr>
                      <w:rFonts w:ascii="Calibri" w:cs="Calibri" w:eastAsia="Calibri" w:hAnsi="Calibri"/>
                      <w:b w:val="false"/>
                      <w:bCs w:val="false"/>
                      <w:i w:val="false"/>
                      <w:iCs w:val="false"/>
                      <w:color w:val="1A1A2E"/>
                      <w:sz w:val="4"/>
                      <w:szCs w:val="4"/>
                    </w:rPr>
                    <w:t xml:space="preserve"/>
                  </w:r>
                </w:p>
              </w:tc>
              <w:tc>
                <w:tcPr>
                  <w:tcW w:type="dxa" w:w="9000"/>
                  <w:tcBorders>
                    <w:top w:val="single" w:color="AAAAAA" w:sz="1" w:space="0"/>
                    <w:left w:val="none" w:color="FFFFFF" w:sz="0" w:space="0"/>
                    <w:bottom w:val="single" w:color="AAAAAA" w:sz="1" w:space="0"/>
                    <w:right w:val="none" w:color="FFFFFF" w:sz="0" w:space="0"/>
                  </w:tcBorders>
                  <w:shd w:fill="F0F8F8" w:color="auto" w:val="clear"/>
                  <w:tcMar>
                    <w:top w:type="dxa" w:w="80"/>
                    <w:left w:type="dxa" w:w="200"/>
                    <w:bottom w:type="dxa" w:w="80"/>
                    <w:right w:type="dxa" w:w="120"/>
                  </w:tcMar>
                </w:tcPr>
                <w:p>
                  <w:pPr>
                    <w:spacing w:after="40" w:before="0" w:line="288" w:lineRule="auto"/>
                    <w:jc w:val="left"/>
                  </w:pPr>
                  <w:r>
                    <w:rPr>
                      <w:rFonts w:ascii="Calibri" w:cs="Calibri" w:eastAsia="Calibri" w:hAnsi="Calibri"/>
                      <w:b/>
                      <w:bCs/>
                      <w:i w:val="false"/>
                      <w:iCs w:val="false"/>
                      <w:color w:val="0D7C7B"/>
                      <w:sz w:val="17"/>
                      <w:szCs w:val="17"/>
                    </w:rPr>
                    <w:t xml:space="preserve">EFSB PATHWAY LESSON</w:t>
                  </w:r>
                </w:p>
                <w:p>
                  <w:pPr>
                    <w:spacing w:after="100" w:before="0" w:line="288" w:lineRule="auto"/>
                    <w:jc w:val="left"/>
                  </w:pPr>
                  <w:r>
                    <w:rPr>
                      <w:rFonts w:ascii="Calibri" w:cs="Calibri" w:eastAsia="Calibri" w:hAnsi="Calibri"/>
                      <w:b w:val="false"/>
                      <w:bCs w:val="false"/>
                      <w:i w:val="false"/>
                      <w:iCs w:val="false"/>
                      <w:color w:val="1A1A2E"/>
                      <w:sz w:val="19"/>
                      <w:szCs w:val="19"/>
                    </w:rPr>
                    <w:t xml:space="preserve">Trimount’s EFSB route (Docket 25-05) provided complete permitting certainty and preempted the Everett mayor’s opposition. Once the EFSB accepted jurisdiction, no municipal approval was required. Effective July 1, 2026, all projects ≥100 MWh automatically qualify for this pathway. For large BESS, EFSB is faster, more certain, and immune to local political risk.</w:t>
                  </w:r>
                </w:p>
              </w:tc>
            </w:tr>
          </w:tbl>
          <w:p/>
        </w:tc>
      </w:tr>
    </w:tbl>
    <w:p>
      <w:pPr>
        <w:spacing w:after="0" w:before="80"/>
      </w:pPr>
      <w:r>
        <w:rPr>
          <w:sz w:val="2"/>
          <w:szCs w:val="2"/>
        </w:rPr>
        <w:t xml:space="preserve"/>
      </w:r>
    </w:p>
    <w:p>
      <w:r>
        <w:br w:type="page"/>
      </w:r>
    </w:p>
    <w:p>
      <w:pPr>
        <w:pBdr>
          <w:top w:val="single" w:color="0E2040" w:sz="2" w:space="0"/>
          <w:bottom w:val="single" w:color="0E2040" w:sz="10" w:space="0"/>
        </w:pBdr>
        <w:shd w:fill="E8EDF3" w:color="auto" w:val="clear"/>
        <w:spacing w:after="100" w:before="280" w:line="288" w:lineRule="auto"/>
      </w:pPr>
      <w:r>
        <w:rPr>
          <w:rFonts w:ascii="Calibri" w:cs="Calibri" w:eastAsia="Calibri" w:hAnsi="Calibri"/>
          <w:b/>
          <w:bCs/>
          <w:i w:val="false"/>
          <w:iCs w:val="false"/>
          <w:color w:val="0E2040"/>
          <w:sz w:val="28"/>
          <w:szCs w:val="28"/>
        </w:rPr>
        <w:t xml:space="preserve">7.  REVENUE OPTIMIZATION &amp; INCENTIVE STACKING</w:t>
      </w:r>
    </w:p>
    <w:p>
      <w:pPr>
        <w:spacing w:after="80" w:before="40" w:line="288" w:lineRule="auto"/>
        <w:jc w:val="left"/>
      </w:pPr>
      <w:r>
        <w:rPr>
          <w:rFonts w:ascii="Calibri" w:cs="Calibri" w:eastAsia="Calibri" w:hAnsi="Calibri"/>
          <w:b w:val="false"/>
          <w:bCs w:val="false"/>
          <w:i w:val="false"/>
          <w:iCs w:val="false"/>
          <w:color w:val="1A1A2E"/>
          <w:sz w:val="20"/>
          <w:szCs w:val="20"/>
        </w:rPr>
        <w:t xml:space="preserve">Massachusetts offers one of the strongest BESS revenue environments in the United States due to the convergence of ISO-NE NEMA/SENE zone pricing, the Clean Peak Energy Standard multiplier structure, SMART storage adders, and a federal ITC stack that can reach 70% for projects in EJ brownfield locations.</w:t>
      </w:r>
    </w:p>
    <w:p>
      <w:pPr>
        <w:pBdr>
          <w:bottom w:val="single" w:color="0D7C7B" w:sz="4" w:space="0"/>
        </w:pBdr>
        <w:spacing w:after="80" w:before="200" w:line="288" w:lineRule="auto"/>
      </w:pPr>
      <w:r>
        <w:rPr>
          <w:rFonts w:ascii="Calibri" w:cs="Calibri" w:eastAsia="Calibri" w:hAnsi="Calibri"/>
          <w:b/>
          <w:bCs/>
          <w:i w:val="false"/>
          <w:iCs w:val="false"/>
          <w:color w:val="0D7C7B"/>
          <w:sz w:val="24"/>
          <w:szCs w:val="24"/>
        </w:rPr>
        <w:t xml:space="preserve">ISO-NE Pricing Advantage — NEMA/SENE Zone</w:t>
      </w:r>
    </w:p>
    <w:p>
      <w:pPr>
        <w:spacing w:after="80" w:before="40" w:line="288" w:lineRule="auto"/>
        <w:jc w:val="left"/>
      </w:pPr>
      <w:r>
        <w:rPr>
          <w:rFonts w:ascii="Calibri" w:cs="Calibri" w:eastAsia="Calibri" w:hAnsi="Calibri"/>
          <w:b w:val="false"/>
          <w:bCs w:val="false"/>
          <w:i w:val="false"/>
          <w:iCs w:val="false"/>
          <w:color w:val="1A1A2E"/>
          <w:sz w:val="20"/>
          <w:szCs w:val="20"/>
        </w:rPr>
        <w:t xml:space="preserve">The NEMA load zone (most of Suffolk County and Cambridge) and SENE capacity zone (all Suffolk County, most Middlesex County) are the highest-priced nodes in the ISO-NE grid. In 2024, the NEMA Day-Ahead LMP averaged $42.09/MWh versus the Hub average of $41.47/MWh — a consistent 1.0–1.5% premium. During the June 24, 2025 scarcity event (extreme heat, 2,550 MW unexpected unavailability), wholesale prices reached approximately $1,600/MWh in the afternoon peak, with the ISO-NE’s Pay-for-Performance mechanism triggering at &gt;$9,300/MWh. The Cranberry Point BESS (150 MW, Carver MA) earned approximately $1,110/MWh during this event — the first large-scale demonstration of storage’s capacity market revenue under real scarcity conditions.</w:t>
      </w:r>
    </w:p>
    <w:p>
      <w:pPr>
        <w:pBdr>
          <w:bottom w:val="single" w:color="C68A17" w:sz="4" w:space="0"/>
        </w:pBdr>
        <w:spacing w:after="80" w:before="200" w:line="288" w:lineRule="auto"/>
      </w:pPr>
      <w:r>
        <w:rPr>
          <w:rFonts w:ascii="Calibri" w:cs="Calibri" w:eastAsia="Calibri" w:hAnsi="Calibri"/>
          <w:b/>
          <w:bCs/>
          <w:i w:val="false"/>
          <w:iCs w:val="false"/>
          <w:color w:val="C68A17"/>
          <w:sz w:val="24"/>
          <w:szCs w:val="24"/>
        </w:rPr>
        <w:t xml:space="preserve">Clean Peak Energy Standard (CPS) Multiplier Stack</w:t>
      </w:r>
    </w:p>
    <w:p>
      <w:pPr>
        <w:spacing w:after="60" w:before="40" w:line="288" w:lineRule="auto"/>
        <w:jc w:val="left"/>
      </w:pPr>
      <w:r>
        <w:rPr>
          <w:rFonts w:ascii="Calibri" w:cs="Calibri" w:eastAsia="Calibri" w:hAnsi="Calibri"/>
          <w:b w:val="false"/>
          <w:bCs w:val="false"/>
          <w:i w:val="false"/>
          <w:iCs w:val="false"/>
          <w:color w:val="1A1A2E"/>
          <w:sz w:val="20"/>
          <w:szCs w:val="20"/>
        </w:rPr>
        <w:t xml:space="preserve">The CPS Alternative Compliance Payment rises to $65/MWh for 2026–2032 under October 2024 emergency rulemaking. CPECs trade at 2–8% below ACP. Four multipliers can be stacked:</w:t>
      </w:r>
    </w:p>
    <w:p>
      <w:pPr>
        <w:pStyle w:val="ListParagraph"/>
        <w:numPr>
          <w:ilvl w:val="0"/>
          <w:numId w:val="2"/>
        </w:numPr>
        <w:spacing w:after="50" w:before="50" w:line="272" w:lineRule="auto"/>
      </w:pPr>
      <w:r>
        <w:rPr>
          <w:rFonts w:ascii="Calibri" w:cs="Calibri" w:eastAsia="Calibri" w:hAnsi="Calibri"/>
          <w:b w:val="false"/>
          <w:bCs w:val="false"/>
          <w:i w:val="false"/>
          <w:iCs w:val="false"/>
          <w:color w:val="6B7C8D"/>
          <w:sz w:val="20"/>
          <w:szCs w:val="20"/>
        </w:rPr>
        <w:t xml:space="preserve">Seasonal multiplier: up to 4× (summer, May–October)</w:t>
      </w:r>
    </w:p>
    <w:p>
      <w:pPr>
        <w:pStyle w:val="ListParagraph"/>
        <w:numPr>
          <w:ilvl w:val="0"/>
          <w:numId w:val="2"/>
        </w:numPr>
        <w:spacing w:after="50" w:before="50" w:line="272" w:lineRule="auto"/>
      </w:pPr>
      <w:r>
        <w:rPr>
          <w:rFonts w:ascii="Calibri" w:cs="Calibri" w:eastAsia="Calibri" w:hAnsi="Calibri"/>
          <w:b w:val="false"/>
          <w:bCs w:val="false"/>
          <w:i w:val="false"/>
          <w:iCs w:val="false"/>
          <w:color w:val="6B7C8D"/>
          <w:sz w:val="20"/>
          <w:szCs w:val="20"/>
        </w:rPr>
        <w:t xml:space="preserve">Monthly system peak multiplier: up to 25× (actual monthly system peak hour)</w:t>
      </w:r>
    </w:p>
    <w:p>
      <w:pPr>
        <w:pStyle w:val="ListParagraph"/>
        <w:numPr>
          <w:ilvl w:val="0"/>
          <w:numId w:val="2"/>
        </w:numPr>
        <w:spacing w:after="50" w:before="50" w:line="272" w:lineRule="auto"/>
      </w:pPr>
      <w:r>
        <w:rPr>
          <w:rFonts w:ascii="Calibri" w:cs="Calibri" w:eastAsia="Calibri" w:hAnsi="Calibri"/>
          <w:b w:val="false"/>
          <w:bCs w:val="false"/>
          <w:i w:val="false"/>
          <w:iCs w:val="false"/>
          <w:color w:val="6B7C8D"/>
          <w:sz w:val="20"/>
          <w:szCs w:val="20"/>
        </w:rPr>
        <w:t xml:space="preserve">Distribution Circuit Multiplier: 2× for 10 years on pre-identified circuits</w:t>
      </w:r>
    </w:p>
    <w:p>
      <w:pPr>
        <w:pStyle w:val="ListParagraph"/>
        <w:numPr>
          <w:ilvl w:val="0"/>
          <w:numId w:val="2"/>
        </w:numPr>
        <w:spacing w:after="50" w:before="50" w:line="272" w:lineRule="auto"/>
      </w:pPr>
      <w:r>
        <w:rPr>
          <w:rFonts w:ascii="Calibri" w:cs="Calibri" w:eastAsia="Calibri" w:hAnsi="Calibri"/>
          <w:b w:val="false"/>
          <w:bCs w:val="false"/>
          <w:i w:val="false"/>
          <w:iCs w:val="false"/>
          <w:color w:val="6B7C8D"/>
          <w:sz w:val="20"/>
          <w:szCs w:val="20"/>
        </w:rPr>
        <w:t xml:space="preserve">Near-Term Resource Multiplier: 2× for 10 years on up to 50 MW front-of-meter storage, COD before January 1, 2027</w:t>
      </w:r>
    </w:p>
    <w:p>
      <w:pPr>
        <w:spacing w:after="0" w:before="60"/>
      </w:pPr>
      <w:r>
        <w:rPr>
          <w:sz w:val="2"/>
          <w:szCs w:val="2"/>
        </w:rPr>
        <w:t xml:space="preserve"/>
      </w:r>
    </w:p>
    <w:p>
      <w:pPr>
        <w:pBdr>
          <w:bottom w:val="single" w:color="A83D28" w:sz="4" w:space="0"/>
        </w:pBdr>
        <w:spacing w:after="80" w:before="200" w:line="288" w:lineRule="auto"/>
      </w:pPr>
      <w:r>
        <w:rPr>
          <w:rFonts w:ascii="Calibri" w:cs="Calibri" w:eastAsia="Calibri" w:hAnsi="Calibri"/>
          <w:b/>
          <w:bCs/>
          <w:i w:val="false"/>
          <w:iCs w:val="false"/>
          <w:color w:val="A83D28"/>
          <w:sz w:val="24"/>
          <w:szCs w:val="24"/>
        </w:rPr>
        <w:t xml:space="preserve">Federal ITC Stacking Guide (OBBBA, July 2025)</w:t>
      </w:r>
    </w:p>
    <w:tbl>
      <w:tblPr>
        <w:tblW w:type="dxa" w:w="9160"/>
        <w:tblBorders>
          <w:top w:val="single" w:color="CCCCCC" w:sz="1" w:space="0"/>
          <w:left w:val="single" w:color="CCCCCC" w:sz="1" w:space="0"/>
          <w:bottom w:val="single" w:color="CCCCCC" w:sz="1" w:space="0"/>
          <w:right w:val="single" w:color="CCCCCC" w:sz="1" w:space="0"/>
          <w:insideH w:val="single" w:color="auto" w:sz="4"/>
          <w:insideV w:val="single" w:color="auto" w:sz="4"/>
        </w:tblBorders>
      </w:tblPr>
      <w:tblGrid>
        <w:gridCol w:w="2400"/>
        <w:gridCol w:w="1100"/>
        <w:gridCol w:w="3000"/>
        <w:gridCol w:w="2660"/>
      </w:tblGrid>
      <w:tr>
        <w:trPr>
          <w:tblHeader/>
        </w:trPr>
        <w:tc>
          <w:tcPr>
            <w:tcW w:type="dxa" w:w="2400"/>
            <w:tcBorders>
              <w:top w:val="single" w:color="0D7C7B" w:sz="1" w:space="0"/>
              <w:left w:val="single" w:color="0D7C7B" w:sz="1" w:space="0"/>
              <w:bottom w:val="single" w:color="0D7C7B" w:sz="1" w:space="0"/>
              <w:right w:val="single" w:color="0D7C7B" w:sz="1" w:space="0"/>
            </w:tcBorders>
            <w:shd w:fill="0E2040" w:color="auto" w:val="clear"/>
            <w:tcMar>
              <w:top w:type="dxa" w:w="80"/>
              <w:left w:type="dxa" w:w="120"/>
              <w:bottom w:type="dxa" w:w="80"/>
              <w:right w:type="dxa" w:w="80"/>
            </w:tcMar>
          </w:tcPr>
          <w:p>
            <w:pPr>
              <w:spacing w:after="100" w:before="0" w:line="288" w:lineRule="auto"/>
              <w:jc w:val="center"/>
            </w:pPr>
            <w:r>
              <w:rPr>
                <w:rFonts w:ascii="Calibri" w:cs="Calibri" w:eastAsia="Calibri" w:hAnsi="Calibri"/>
                <w:b/>
                <w:bCs/>
                <w:i w:val="false"/>
                <w:iCs w:val="false"/>
                <w:color w:val="FFFFFF"/>
                <w:sz w:val="18"/>
                <w:szCs w:val="18"/>
              </w:rPr>
              <w:t xml:space="preserve">ITC Component</w:t>
            </w:r>
          </w:p>
        </w:tc>
        <w:tc>
          <w:tcPr>
            <w:tcW w:type="dxa" w:w="1100"/>
            <w:tcBorders>
              <w:top w:val="single" w:color="0D7C7B" w:sz="1" w:space="0"/>
              <w:left w:val="single" w:color="0D7C7B" w:sz="1" w:space="0"/>
              <w:bottom w:val="single" w:color="0D7C7B" w:sz="1" w:space="0"/>
              <w:right w:val="single" w:color="0D7C7B" w:sz="1" w:space="0"/>
            </w:tcBorders>
            <w:shd w:fill="0E2040" w:color="auto" w:val="clear"/>
            <w:tcMar>
              <w:top w:type="dxa" w:w="80"/>
              <w:left w:type="dxa" w:w="120"/>
              <w:bottom w:type="dxa" w:w="80"/>
              <w:right w:type="dxa" w:w="80"/>
            </w:tcMar>
          </w:tcPr>
          <w:p>
            <w:pPr>
              <w:spacing w:after="100" w:before="0" w:line="288" w:lineRule="auto"/>
              <w:jc w:val="center"/>
            </w:pPr>
            <w:r>
              <w:rPr>
                <w:rFonts w:ascii="Calibri" w:cs="Calibri" w:eastAsia="Calibri" w:hAnsi="Calibri"/>
                <w:b/>
                <w:bCs/>
                <w:i w:val="false"/>
                <w:iCs w:val="false"/>
                <w:color w:val="FFFFFF"/>
                <w:sz w:val="18"/>
                <w:szCs w:val="18"/>
              </w:rPr>
              <w:t xml:space="preserve">Rate</w:t>
            </w:r>
          </w:p>
        </w:tc>
        <w:tc>
          <w:tcPr>
            <w:tcW w:type="dxa" w:w="3000"/>
            <w:tcBorders>
              <w:top w:val="single" w:color="0D7C7B" w:sz="1" w:space="0"/>
              <w:left w:val="single" w:color="0D7C7B" w:sz="1" w:space="0"/>
              <w:bottom w:val="single" w:color="0D7C7B" w:sz="1" w:space="0"/>
              <w:right w:val="single" w:color="0D7C7B" w:sz="1" w:space="0"/>
            </w:tcBorders>
            <w:shd w:fill="0E2040" w:color="auto" w:val="clear"/>
            <w:tcMar>
              <w:top w:type="dxa" w:w="80"/>
              <w:left w:type="dxa" w:w="120"/>
              <w:bottom w:type="dxa" w:w="80"/>
              <w:right w:type="dxa" w:w="80"/>
            </w:tcMar>
          </w:tcPr>
          <w:p>
            <w:pPr>
              <w:spacing w:after="100" w:before="0" w:line="288" w:lineRule="auto"/>
              <w:jc w:val="center"/>
            </w:pPr>
            <w:r>
              <w:rPr>
                <w:rFonts w:ascii="Calibri" w:cs="Calibri" w:eastAsia="Calibri" w:hAnsi="Calibri"/>
                <w:b/>
                <w:bCs/>
                <w:i w:val="false"/>
                <w:iCs w:val="false"/>
                <w:color w:val="FFFFFF"/>
                <w:sz w:val="18"/>
                <w:szCs w:val="18"/>
              </w:rPr>
              <w:t xml:space="preserve">How to Qualify</w:t>
            </w:r>
          </w:p>
        </w:tc>
        <w:tc>
          <w:tcPr>
            <w:tcW w:type="dxa" w:w="2660"/>
            <w:tcBorders>
              <w:top w:val="single" w:color="0D7C7B" w:sz="1" w:space="0"/>
              <w:left w:val="single" w:color="0D7C7B" w:sz="1" w:space="0"/>
              <w:bottom w:val="single" w:color="0D7C7B" w:sz="1" w:space="0"/>
              <w:right w:val="single" w:color="0D7C7B" w:sz="1" w:space="0"/>
            </w:tcBorders>
            <w:shd w:fill="0E2040" w:color="auto" w:val="clear"/>
            <w:tcMar>
              <w:top w:type="dxa" w:w="80"/>
              <w:left w:type="dxa" w:w="120"/>
              <w:bottom w:type="dxa" w:w="80"/>
              <w:right w:type="dxa" w:w="80"/>
            </w:tcMar>
          </w:tcPr>
          <w:p>
            <w:pPr>
              <w:spacing w:after="100" w:before="0" w:line="288" w:lineRule="auto"/>
              <w:jc w:val="center"/>
            </w:pPr>
            <w:r>
              <w:rPr>
                <w:rFonts w:ascii="Calibri" w:cs="Calibri" w:eastAsia="Calibri" w:hAnsi="Calibri"/>
                <w:b/>
                <w:bCs/>
                <w:i w:val="false"/>
                <w:iCs w:val="false"/>
                <w:color w:val="FFFFFF"/>
                <w:sz w:val="18"/>
                <w:szCs w:val="18"/>
              </w:rPr>
              <w:t xml:space="preserve">Applies to Both Sites?</w:t>
            </w:r>
          </w:p>
        </w:tc>
      </w:tr>
      <w:tr>
        <w:tc>
          <w:tcPr>
            <w:tcW w:type="dxa" w:w="24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Base ITC (Section 48E)</w:t>
            </w:r>
          </w:p>
        </w:tc>
        <w:tc>
          <w:tcPr>
            <w:tcW w:type="dxa" w:w="11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6%</w:t>
            </w:r>
          </w:p>
        </w:tc>
        <w:tc>
          <w:tcPr>
            <w:tcW w:type="dxa" w:w="30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Default — all BESS projects</w:t>
            </w:r>
          </w:p>
        </w:tc>
        <w:tc>
          <w:tcPr>
            <w:tcW w:type="dxa" w:w="266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Yes</w:t>
            </w:r>
          </w:p>
        </w:tc>
      </w:tr>
      <w:tr>
        <w:tc>
          <w:tcPr>
            <w:tcW w:type="dxa" w:w="24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Prevailing Wage &amp; Apprenticeship</w:t>
            </w:r>
          </w:p>
        </w:tc>
        <w:tc>
          <w:tcPr>
            <w:tcW w:type="dxa" w:w="11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30% (total)</w:t>
            </w:r>
          </w:p>
        </w:tc>
        <w:tc>
          <w:tcPr>
            <w:tcW w:type="dxa" w:w="30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Certified compliance for projects &gt;1 MW; mandatory</w:t>
            </w:r>
          </w:p>
        </w:tc>
        <w:tc>
          <w:tcPr>
            <w:tcW w:type="dxa" w:w="266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Yes</w:t>
            </w:r>
          </w:p>
        </w:tc>
      </w:tr>
      <w:tr>
        <w:tc>
          <w:tcPr>
            <w:tcW w:type="dxa" w:w="24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Domestic Content Bonus</w:t>
            </w:r>
          </w:p>
        </w:tc>
        <w:tc>
          <w:tcPr>
            <w:tcW w:type="dxa" w:w="11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+10% (40% total)</w:t>
            </w:r>
          </w:p>
        </w:tc>
        <w:tc>
          <w:tcPr>
            <w:tcW w:type="dxa" w:w="30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US-produced steel, iron, manufactured products</w:t>
            </w:r>
          </w:p>
        </w:tc>
        <w:tc>
          <w:tcPr>
            <w:tcW w:type="dxa" w:w="266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Challenging — most LFP cells manufactured in China; FEOC rules apply 2026</w:t>
            </w:r>
          </w:p>
        </w:tc>
      </w:tr>
      <w:tr>
        <w:tc>
          <w:tcPr>
            <w:tcW w:type="dxa" w:w="24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Energy Community Bonus</w:t>
            </w:r>
          </w:p>
        </w:tc>
        <w:tc>
          <w:tcPr>
            <w:tcW w:type="dxa" w:w="11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+10% (50% total)</w:t>
            </w:r>
          </w:p>
        </w:tc>
        <w:tc>
          <w:tcPr>
            <w:tcW w:type="dxa" w:w="30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Brownfield, closed coal plant, or high-unemployment fossil fuel community</w:t>
            </w:r>
          </w:p>
        </w:tc>
        <w:tc>
          <w:tcPr>
            <w:tcW w:type="dxa" w:w="266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Chelsea: Yes (industrial site). Everett: Yes (former oil terminal).</w:t>
            </w:r>
          </w:p>
        </w:tc>
      </w:tr>
      <w:tr>
        <w:tc>
          <w:tcPr>
            <w:tcW w:type="dxa" w:w="24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Low-Income Community Bonus</w:t>
            </w:r>
          </w:p>
        </w:tc>
        <w:tc>
          <w:tcPr>
            <w:tcW w:type="dxa" w:w="11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+10–20% (up to 70% total)</w:t>
            </w:r>
          </w:p>
        </w:tc>
        <w:tc>
          <w:tcPr>
            <w:tcW w:type="dxa" w:w="30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Low-income census tract or serving low-income residents</w:t>
            </w:r>
          </w:p>
        </w:tc>
        <w:tc>
          <w:tcPr>
            <w:tcW w:type="dxa" w:w="266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Both: Strong case given 100% EJ block group designation</w:t>
            </w:r>
          </w:p>
        </w:tc>
      </w:tr>
      <w:tr>
        <w:tc>
          <w:tcPr>
            <w:tcW w:type="dxa" w:w="24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Maximum Stackable ITC</w:t>
            </w:r>
          </w:p>
        </w:tc>
        <w:tc>
          <w:tcPr>
            <w:tcW w:type="dxa" w:w="11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Up to 70%</w:t>
            </w:r>
          </w:p>
        </w:tc>
        <w:tc>
          <w:tcPr>
            <w:tcW w:type="dxa" w:w="30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PWA + Energy Community + Low-Income bonuses</w:t>
            </w:r>
          </w:p>
        </w:tc>
        <w:tc>
          <w:tcPr>
            <w:tcW w:type="dxa" w:w="266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Both sites qualify</w:t>
            </w:r>
          </w:p>
        </w:tc>
      </w:tr>
    </w:tbl>
    <w:p>
      <w:pPr>
        <w:spacing w:after="0" w:before="80"/>
      </w:pPr>
      <w:r>
        <w:rPr>
          <w:sz w:val="2"/>
          <w:szCs w:val="2"/>
        </w:rPr>
        <w:t xml:space="preserve"/>
      </w:r>
    </w:p>
    <w:p>
      <w:pPr>
        <w:pBdr>
          <w:bottom w:val="single" w:color="0D7C7B" w:sz="4" w:space="0"/>
        </w:pBdr>
        <w:spacing w:after="80" w:before="200" w:line="288" w:lineRule="auto"/>
      </w:pPr>
      <w:r>
        <w:rPr>
          <w:rFonts w:ascii="Calibri" w:cs="Calibri" w:eastAsia="Calibri" w:hAnsi="Calibri"/>
          <w:b/>
          <w:bCs/>
          <w:i w:val="false"/>
          <w:iCs w:val="false"/>
          <w:color w:val="0D7C7B"/>
          <w:sz w:val="24"/>
          <w:szCs w:val="24"/>
        </w:rPr>
        <w:t xml:space="preserve">Duration Optimization by Site</w:t>
      </w:r>
    </w:p>
    <w:p>
      <w:pPr>
        <w:spacing w:after="60" w:before="40" w:line="288" w:lineRule="auto"/>
        <w:jc w:val="left"/>
      </w:pPr>
      <w:r>
        <w:rPr>
          <w:rFonts w:ascii="Calibri" w:cs="Calibri" w:eastAsia="Calibri" w:hAnsi="Calibri"/>
          <w:b w:val="false"/>
          <w:bCs w:val="false"/>
          <w:i w:val="false"/>
          <w:iCs w:val="false"/>
          <w:color w:val="1A1A2E"/>
          <w:sz w:val="20"/>
          <w:szCs w:val="20"/>
        </w:rPr>
        <w:t xml:space="preserve">Battery duration selection drives which revenue streams are most accessible. The tool recommends duration based on site location, hosting capacity, and grid node characteristics:</w:t>
      </w:r>
    </w:p>
    <w:p>
      <w:pPr>
        <w:pStyle w:val="ListParagraph"/>
        <w:numPr>
          <w:ilvl w:val="0"/>
          <w:numId w:val="2"/>
        </w:numPr>
        <w:spacing w:after="50" w:before="50" w:line="272" w:lineRule="auto"/>
      </w:pPr>
      <w:r>
        <w:rPr>
          <w:rFonts w:ascii="Calibri" w:cs="Calibri" w:eastAsia="Calibri" w:hAnsi="Calibri"/>
          <w:b w:val="false"/>
          <w:bCs w:val="false"/>
          <w:i w:val="false"/>
          <w:iCs w:val="false"/>
          <w:color w:val="6B7C8D"/>
          <w:sz w:val="20"/>
          <w:szCs w:val="20"/>
        </w:rPr>
        <w:t xml:space="preserve">Everett (Mystic Substation, Very High hosting capacity): 8-hour system recommended — maximizes FCM capacity payments, qualifies for long-duration 83E contracts, and captures overnight arbitrage</w:t>
      </w:r>
    </w:p>
    <w:p>
      <w:pPr>
        <w:pStyle w:val="ListParagraph"/>
        <w:numPr>
          <w:ilvl w:val="0"/>
          <w:numId w:val="2"/>
        </w:numPr>
        <w:spacing w:after="50" w:before="50" w:line="272" w:lineRule="auto"/>
      </w:pPr>
      <w:r>
        <w:rPr>
          <w:rFonts w:ascii="Calibri" w:cs="Calibri" w:eastAsia="Calibri" w:hAnsi="Calibri"/>
          <w:b w:val="false"/>
          <w:bCs w:val="false"/>
          <w:i w:val="false"/>
          <w:iCs w:val="false"/>
          <w:color w:val="6B7C8D"/>
          <w:sz w:val="20"/>
          <w:szCs w:val="20"/>
        </w:rPr>
        <w:t xml:space="preserve">Chelsea (Eversource Chelsea Substation, High capacity): 4-hour system recommended — optimal for CPS peak multipliers, FCM participation, and SMART adder eligibility</w:t>
      </w:r>
    </w:p>
    <w:p>
      <w:pPr>
        <w:pStyle w:val="ListParagraph"/>
        <w:numPr>
          <w:ilvl w:val="0"/>
          <w:numId w:val="2"/>
        </w:numPr>
        <w:spacing w:after="50" w:before="50" w:line="272" w:lineRule="auto"/>
      </w:pPr>
      <w:r>
        <w:rPr>
          <w:rFonts w:ascii="Calibri" w:cs="Calibri" w:eastAsia="Calibri" w:hAnsi="Calibri"/>
          <w:b w:val="false"/>
          <w:bCs w:val="false"/>
          <w:i w:val="false"/>
          <w:iCs w:val="false"/>
          <w:color w:val="6B7C8D"/>
          <w:sz w:val="20"/>
          <w:szCs w:val="20"/>
        </w:rPr>
        <w:t xml:space="preserve">East Boston, Revere, Cambridge (Medium capacity): 2-hour systems recommended — behind-the-meter peak shaving, ConnectedSolutions ($275/kW summer), demand charge reduction</w:t>
      </w:r>
    </w:p>
    <w:p>
      <w:pPr>
        <w:spacing w:after="0" w:before="80"/>
      </w:pPr>
      <w:r>
        <w:rPr>
          <w:sz w:val="2"/>
          <w:szCs w:val="2"/>
        </w:rPr>
        <w:t xml:space="preserve"/>
      </w:r>
    </w:p>
    <w:p>
      <w:pPr>
        <w:pBdr>
          <w:top w:val="single" w:color="0E2040" w:sz="2" w:space="0"/>
          <w:bottom w:val="single" w:color="0E2040" w:sz="10" w:space="0"/>
        </w:pBdr>
        <w:shd w:fill="E8EDF3" w:color="auto" w:val="clear"/>
        <w:spacing w:after="100" w:before="280" w:line="288" w:lineRule="auto"/>
      </w:pPr>
      <w:r>
        <w:rPr>
          <w:rFonts w:ascii="Calibri" w:cs="Calibri" w:eastAsia="Calibri" w:hAnsi="Calibri"/>
          <w:b/>
          <w:bCs/>
          <w:i w:val="false"/>
          <w:iCs w:val="false"/>
          <w:color w:val="0E2040"/>
          <w:sz w:val="28"/>
          <w:szCs w:val="28"/>
        </w:rPr>
        <w:t xml:space="preserve">8.  PRACTICAL NEXT STEPS FOR DEVELOPERS</w:t>
      </w:r>
    </w:p>
    <w:p>
      <w:pPr>
        <w:spacing w:after="80" w:before="40" w:line="288" w:lineRule="auto"/>
        <w:jc w:val="left"/>
      </w:pPr>
      <w:r>
        <w:rPr>
          <w:rFonts w:ascii="Calibri" w:cs="Calibri" w:eastAsia="Calibri" w:hAnsi="Calibri"/>
          <w:b w:val="false"/>
          <w:bCs w:val="false"/>
          <w:i w:val="false"/>
          <w:iCs w:val="false"/>
          <w:color w:val="1A1A2E"/>
          <w:sz w:val="20"/>
          <w:szCs w:val="20"/>
        </w:rPr>
        <w:t xml:space="preserve">The following action sequence is drawn directly from the Chelsea and Everett project timelines and represents the fastest path to permit in Suffolk or Middlesex County.</w:t>
      </w:r>
    </w:p>
    <w:p>
      <w:pPr>
        <w:pBdr>
          <w:bottom w:val="single" w:color="0D7C7B" w:sz="4" w:space="0"/>
        </w:pBdr>
        <w:spacing w:after="80" w:before="200" w:line="288" w:lineRule="auto"/>
      </w:pPr>
      <w:r>
        <w:rPr>
          <w:rFonts w:ascii="Calibri" w:cs="Calibri" w:eastAsia="Calibri" w:hAnsi="Calibri"/>
          <w:b/>
          <w:bCs/>
          <w:i w:val="false"/>
          <w:iCs w:val="false"/>
          <w:color w:val="0D7C7B"/>
          <w:sz w:val="24"/>
          <w:szCs w:val="24"/>
        </w:rPr>
        <w:t xml:space="preserve">Pre-Acquisition (Before Any Site Commitment)</w:t>
      </w:r>
    </w:p>
    <w:p>
      <w:pPr>
        <w:pStyle w:val="ListParagraph"/>
        <w:numPr>
          <w:ilvl w:val="0"/>
          <w:numId w:val="3"/>
        </w:numPr>
        <w:spacing w:after="60" w:before="60" w:line="276" w:lineRule="auto"/>
      </w:pPr>
      <w:r>
        <w:rPr>
          <w:rFonts w:ascii="Calibri" w:cs="Calibri" w:eastAsia="Calibri" w:hAnsi="Calibri"/>
          <w:b w:val="false"/>
          <w:bCs w:val="false"/>
          <w:i w:val="false"/>
          <w:iCs w:val="false"/>
          <w:color w:val="1A1A2E"/>
          <w:sz w:val="20"/>
          <w:szCs w:val="20"/>
        </w:rPr>
        <w:t xml:space="preserve">Run the five-layer MCE score on candidate municipalities and specific parcels</w:t>
      </w:r>
    </w:p>
    <w:p>
      <w:pPr>
        <w:pStyle w:val="ListParagraph"/>
        <w:numPr>
          <w:ilvl w:val="0"/>
          <w:numId w:val="3"/>
        </w:numPr>
        <w:spacing w:after="60" w:before="60" w:line="276" w:lineRule="auto"/>
      </w:pPr>
      <w:r>
        <w:rPr>
          <w:rFonts w:ascii="Calibri" w:cs="Calibri" w:eastAsia="Calibri" w:hAnsi="Calibri"/>
          <w:b w:val="false"/>
          <w:bCs w:val="false"/>
          <w:i w:val="false"/>
          <w:iCs w:val="false"/>
          <w:color w:val="1A1A2E"/>
          <w:sz w:val="20"/>
          <w:szCs w:val="20"/>
        </w:rPr>
        <w:t xml:space="preserve">Confirm EJ designation status and CIA severity for target census block groups</w:t>
      </w:r>
    </w:p>
    <w:p>
      <w:pPr>
        <w:pStyle w:val="ListParagraph"/>
        <w:numPr>
          <w:ilvl w:val="0"/>
          <w:numId w:val="3"/>
        </w:numPr>
        <w:spacing w:after="60" w:before="60" w:line="276" w:lineRule="auto"/>
      </w:pPr>
      <w:r>
        <w:rPr>
          <w:rFonts w:ascii="Calibri" w:cs="Calibri" w:eastAsia="Calibri" w:hAnsi="Calibri"/>
          <w:b w:val="false"/>
          <w:bCs w:val="false"/>
          <w:i w:val="false"/>
          <w:iCs w:val="false"/>
          <w:color w:val="1A1A2E"/>
          <w:sz w:val="20"/>
          <w:szCs w:val="20"/>
        </w:rPr>
        <w:t xml:space="preserve">Pull Eversource or National Grid hosting capacity data for candidate circuits (envelio Navigator or ORNL OpenEnergyHub)</w:t>
      </w:r>
    </w:p>
    <w:p>
      <w:pPr>
        <w:pStyle w:val="ListParagraph"/>
        <w:numPr>
          <w:ilvl w:val="0"/>
          <w:numId w:val="3"/>
        </w:numPr>
        <w:spacing w:after="60" w:before="60" w:line="276" w:lineRule="auto"/>
      </w:pPr>
      <w:r>
        <w:rPr>
          <w:rFonts w:ascii="Calibri" w:cs="Calibri" w:eastAsia="Calibri" w:hAnsi="Calibri"/>
          <w:b w:val="false"/>
          <w:bCs w:val="false"/>
          <w:i w:val="false"/>
          <w:iCs w:val="false"/>
          <w:color w:val="1A1A2E"/>
          <w:sz w:val="20"/>
          <w:szCs w:val="20"/>
        </w:rPr>
        <w:t xml:space="preserve">Estimate Max MW using net buildable area after applicable setbacks (50–100 ft)</w:t>
      </w:r>
    </w:p>
    <w:p>
      <w:pPr>
        <w:pStyle w:val="ListParagraph"/>
        <w:numPr>
          <w:ilvl w:val="0"/>
          <w:numId w:val="3"/>
        </w:numPr>
        <w:spacing w:after="60" w:before="60" w:line="276" w:lineRule="auto"/>
      </w:pPr>
      <w:r>
        <w:rPr>
          <w:rFonts w:ascii="Calibri" w:cs="Calibri" w:eastAsia="Calibri" w:hAnsi="Calibri"/>
          <w:b w:val="false"/>
          <w:bCs w:val="false"/>
          <w:i w:val="false"/>
          <w:iCs w:val="false"/>
          <w:color w:val="1A1A2E"/>
          <w:sz w:val="20"/>
          <w:szCs w:val="20"/>
        </w:rPr>
        <w:t xml:space="preserve">Model full revenue stack using NEMA or SENE zone LMP, not Hub average</w:t>
      </w:r>
    </w:p>
    <w:p>
      <w:pPr>
        <w:pStyle w:val="ListParagraph"/>
        <w:numPr>
          <w:ilvl w:val="0"/>
          <w:numId w:val="3"/>
        </w:numPr>
        <w:spacing w:after="60" w:before="60" w:line="276" w:lineRule="auto"/>
      </w:pPr>
      <w:r>
        <w:rPr>
          <w:rFonts w:ascii="Calibri" w:cs="Calibri" w:eastAsia="Calibri" w:hAnsi="Calibri"/>
          <w:b w:val="false"/>
          <w:bCs w:val="false"/>
          <w:i w:val="false"/>
          <w:iCs w:val="false"/>
          <w:color w:val="1A1A2E"/>
          <w:sz w:val="20"/>
          <w:szCs w:val="20"/>
        </w:rPr>
        <w:t xml:space="preserve">Identify ITC bonus eligibility: brownfield? EJ census tract? Prevailing wage?</w:t>
      </w:r>
    </w:p>
    <w:p>
      <w:pPr>
        <w:spacing w:after="0" w:before="80"/>
      </w:pPr>
      <w:r>
        <w:rPr>
          <w:sz w:val="2"/>
          <w:szCs w:val="2"/>
        </w:rPr>
        <w:t xml:space="preserve"/>
      </w:r>
    </w:p>
    <w:p>
      <w:pPr>
        <w:pBdr>
          <w:bottom w:val="single" w:color="0D7C7B" w:sz="4" w:space="0"/>
        </w:pBdr>
        <w:spacing w:after="80" w:before="200" w:line="288" w:lineRule="auto"/>
      </w:pPr>
      <w:r>
        <w:rPr>
          <w:rFonts w:ascii="Calibri" w:cs="Calibri" w:eastAsia="Calibri" w:hAnsi="Calibri"/>
          <w:b/>
          <w:bCs/>
          <w:i w:val="false"/>
          <w:iCs w:val="false"/>
          <w:color w:val="0D7C7B"/>
          <w:sz w:val="24"/>
          <w:szCs w:val="24"/>
        </w:rPr>
        <w:t xml:space="preserve">Site Control Through Permitting</w:t>
      </w:r>
    </w:p>
    <w:p>
      <w:pPr>
        <w:pStyle w:val="ListParagraph"/>
        <w:numPr>
          <w:ilvl w:val="0"/>
          <w:numId w:val="3"/>
        </w:numPr>
        <w:spacing w:after="60" w:before="60" w:line="276" w:lineRule="auto"/>
      </w:pPr>
      <w:r>
        <w:rPr>
          <w:rFonts w:ascii="Calibri" w:cs="Calibri" w:eastAsia="Calibri" w:hAnsi="Calibri"/>
          <w:b w:val="false"/>
          <w:bCs w:val="false"/>
          <w:i w:val="false"/>
          <w:iCs w:val="false"/>
          <w:color w:val="1A1A2E"/>
          <w:sz w:val="20"/>
          <w:szCs w:val="20"/>
        </w:rPr>
        <w:t xml:space="preserve">Retain EJ/CIA consultant before submitting any permit applications</w:t>
      </w:r>
    </w:p>
    <w:p>
      <w:pPr>
        <w:pStyle w:val="ListParagraph"/>
        <w:numPr>
          <w:ilvl w:val="0"/>
          <w:numId w:val="3"/>
        </w:numPr>
        <w:spacing w:after="60" w:before="60" w:line="276" w:lineRule="auto"/>
      </w:pPr>
      <w:r>
        <w:rPr>
          <w:rFonts w:ascii="Calibri" w:cs="Calibri" w:eastAsia="Calibri" w:hAnsi="Calibri"/>
          <w:b w:val="false"/>
          <w:bCs w:val="false"/>
          <w:i w:val="false"/>
          <w:iCs w:val="false"/>
          <w:color w:val="1A1A2E"/>
          <w:sz w:val="20"/>
          <w:szCs w:val="20"/>
        </w:rPr>
        <w:t xml:space="preserve">Engage with the municipal Environmental Justice community organization from day one</w:t>
      </w:r>
    </w:p>
    <w:p>
      <w:pPr>
        <w:pStyle w:val="ListParagraph"/>
        <w:numPr>
          <w:ilvl w:val="0"/>
          <w:numId w:val="3"/>
        </w:numPr>
        <w:spacing w:after="60" w:before="60" w:line="276" w:lineRule="auto"/>
      </w:pPr>
      <w:r>
        <w:rPr>
          <w:rFonts w:ascii="Calibri" w:cs="Calibri" w:eastAsia="Calibri" w:hAnsi="Calibri"/>
          <w:b w:val="false"/>
          <w:bCs w:val="false"/>
          <w:i w:val="false"/>
          <w:iCs w:val="false"/>
          <w:color w:val="1A1A2E"/>
          <w:sz w:val="20"/>
          <w:szCs w:val="20"/>
        </w:rPr>
        <w:t xml:space="preserve">Pre-negotiate Host Community Agreement framework before first public hearing</w:t>
      </w:r>
    </w:p>
    <w:p>
      <w:pPr>
        <w:pStyle w:val="ListParagraph"/>
        <w:numPr>
          <w:ilvl w:val="0"/>
          <w:numId w:val="3"/>
        </w:numPr>
        <w:spacing w:after="60" w:before="60" w:line="276" w:lineRule="auto"/>
      </w:pPr>
      <w:r>
        <w:rPr>
          <w:rFonts w:ascii="Calibri" w:cs="Calibri" w:eastAsia="Calibri" w:hAnsi="Calibri"/>
          <w:b w:val="false"/>
          <w:bCs w:val="false"/>
          <w:i w:val="false"/>
          <w:iCs w:val="false"/>
          <w:color w:val="1A1A2E"/>
          <w:sz w:val="20"/>
          <w:szCs w:val="20"/>
        </w:rPr>
        <w:t xml:space="preserve">Determine EFSB vs. local permitting path based on project MWh capacity</w:t>
      </w:r>
    </w:p>
    <w:p>
      <w:pPr>
        <w:pStyle w:val="ListParagraph"/>
        <w:numPr>
          <w:ilvl w:val="0"/>
          <w:numId w:val="3"/>
        </w:numPr>
        <w:spacing w:after="60" w:before="60" w:line="276" w:lineRule="auto"/>
      </w:pPr>
      <w:r>
        <w:rPr>
          <w:rFonts w:ascii="Calibri" w:cs="Calibri" w:eastAsia="Calibri" w:hAnsi="Calibri"/>
          <w:b w:val="false"/>
          <w:bCs w:val="false"/>
          <w:i w:val="false"/>
          <w:iCs w:val="false"/>
          <w:color w:val="1A1A2E"/>
          <w:sz w:val="20"/>
          <w:szCs w:val="20"/>
        </w:rPr>
        <w:t xml:space="preserve">For ≥100 MWh: file EFSB petition; lock in 15-month permitting runway (effective July 2026)</w:t>
      </w:r>
    </w:p>
    <w:p>
      <w:pPr>
        <w:pStyle w:val="ListParagraph"/>
        <w:numPr>
          <w:ilvl w:val="0"/>
          <w:numId w:val="3"/>
        </w:numPr>
        <w:spacing w:after="60" w:before="60" w:line="276" w:lineRule="auto"/>
      </w:pPr>
      <w:r>
        <w:rPr>
          <w:rFonts w:ascii="Calibri" w:cs="Calibri" w:eastAsia="Calibri" w:hAnsi="Calibri"/>
          <w:b w:val="false"/>
          <w:bCs w:val="false"/>
          <w:i w:val="false"/>
          <w:iCs w:val="false"/>
          <w:color w:val="1A1A2E"/>
          <w:sz w:val="20"/>
          <w:szCs w:val="20"/>
        </w:rPr>
        <w:t xml:space="preserve">Prepare CIA documentation addressing all 33 indicators; submit with application package</w:t>
      </w:r>
    </w:p>
    <w:p>
      <w:pPr>
        <w:spacing w:after="0" w:before="80"/>
      </w:pPr>
      <w:r>
        <w:rPr>
          <w:sz w:val="2"/>
          <w:szCs w:val="2"/>
        </w:rPr>
        <w:t xml:space="preserve"/>
      </w:r>
    </w:p>
    <w:p>
      <w:pPr>
        <w:pBdr>
          <w:bottom w:val="single" w:color="0D7C7B" w:sz="4" w:space="0"/>
        </w:pBdr>
        <w:spacing w:after="80" w:before="200" w:line="288" w:lineRule="auto"/>
      </w:pPr>
      <w:r>
        <w:rPr>
          <w:rFonts w:ascii="Calibri" w:cs="Calibri" w:eastAsia="Calibri" w:hAnsi="Calibri"/>
          <w:b/>
          <w:bCs/>
          <w:i w:val="false"/>
          <w:iCs w:val="false"/>
          <w:color w:val="0D7C7B"/>
          <w:sz w:val="24"/>
          <w:szCs w:val="24"/>
        </w:rPr>
        <w:t xml:space="preserve">Interconnection &amp; Commercial</w:t>
      </w:r>
    </w:p>
    <w:p>
      <w:pPr>
        <w:pStyle w:val="ListParagraph"/>
        <w:numPr>
          <w:ilvl w:val="0"/>
          <w:numId w:val="3"/>
        </w:numPr>
        <w:spacing w:after="60" w:before="60" w:line="276" w:lineRule="auto"/>
      </w:pPr>
      <w:r>
        <w:rPr>
          <w:rFonts w:ascii="Calibri" w:cs="Calibri" w:eastAsia="Calibri" w:hAnsi="Calibri"/>
          <w:b w:val="false"/>
          <w:bCs w:val="false"/>
          <w:i w:val="false"/>
          <w:iCs w:val="false"/>
          <w:color w:val="1A1A2E"/>
          <w:sz w:val="20"/>
          <w:szCs w:val="20"/>
        </w:rPr>
        <w:t xml:space="preserve">File ISO-NE interconnection application after EFSB approval (or in parallel for local-path projects)</w:t>
      </w:r>
    </w:p>
    <w:p>
      <w:pPr>
        <w:pStyle w:val="ListParagraph"/>
        <w:numPr>
          <w:ilvl w:val="0"/>
          <w:numId w:val="3"/>
        </w:numPr>
        <w:spacing w:after="60" w:before="60" w:line="276" w:lineRule="auto"/>
      </w:pPr>
      <w:r>
        <w:rPr>
          <w:rFonts w:ascii="Calibri" w:cs="Calibri" w:eastAsia="Calibri" w:hAnsi="Calibri"/>
          <w:b w:val="false"/>
          <w:bCs w:val="false"/>
          <w:i w:val="false"/>
          <w:iCs w:val="false"/>
          <w:color w:val="1A1A2E"/>
          <w:sz w:val="20"/>
          <w:szCs w:val="20"/>
        </w:rPr>
        <w:t xml:space="preserve">Develop Section 83E procurement bid in parallel with permitting — Round 2 target ~1 GW (2026)</w:t>
      </w:r>
    </w:p>
    <w:p>
      <w:pPr>
        <w:pStyle w:val="ListParagraph"/>
        <w:numPr>
          <w:ilvl w:val="0"/>
          <w:numId w:val="3"/>
        </w:numPr>
        <w:spacing w:after="60" w:before="60" w:line="276" w:lineRule="auto"/>
      </w:pPr>
      <w:r>
        <w:rPr>
          <w:rFonts w:ascii="Calibri" w:cs="Calibri" w:eastAsia="Calibri" w:hAnsi="Calibri"/>
          <w:b w:val="false"/>
          <w:bCs w:val="false"/>
          <w:i w:val="false"/>
          <w:iCs w:val="false"/>
          <w:color w:val="1A1A2E"/>
          <w:sz w:val="20"/>
          <w:szCs w:val="20"/>
        </w:rPr>
        <w:t xml:space="preserve">Negotiate 20-year CPEC contract structure; retain wholesale energy and FCM upside</w:t>
      </w:r>
    </w:p>
    <w:p>
      <w:pPr>
        <w:pStyle w:val="ListParagraph"/>
        <w:numPr>
          <w:ilvl w:val="0"/>
          <w:numId w:val="3"/>
        </w:numPr>
        <w:spacing w:after="60" w:before="60" w:line="276" w:lineRule="auto"/>
      </w:pPr>
      <w:r>
        <w:rPr>
          <w:rFonts w:ascii="Calibri" w:cs="Calibri" w:eastAsia="Calibri" w:hAnsi="Calibri"/>
          <w:b w:val="false"/>
          <w:bCs w:val="false"/>
          <w:i w:val="false"/>
          <w:iCs w:val="false"/>
          <w:color w:val="1A1A2E"/>
          <w:sz w:val="20"/>
          <w:szCs w:val="20"/>
        </w:rPr>
        <w:t xml:space="preserve">Certify prevailing wage and apprenticeship requirements before financial close to secure 30% base ITC</w:t>
      </w:r>
    </w:p>
    <w:p>
      <w:pPr>
        <w:pStyle w:val="ListParagraph"/>
        <w:numPr>
          <w:ilvl w:val="0"/>
          <w:numId w:val="3"/>
        </w:numPr>
        <w:spacing w:after="60" w:before="60" w:line="276" w:lineRule="auto"/>
      </w:pPr>
      <w:r>
        <w:rPr>
          <w:rFonts w:ascii="Calibri" w:cs="Calibri" w:eastAsia="Calibri" w:hAnsi="Calibri"/>
          <w:b w:val="false"/>
          <w:bCs w:val="false"/>
          <w:i w:val="false"/>
          <w:iCs w:val="false"/>
          <w:color w:val="1A1A2E"/>
          <w:sz w:val="20"/>
          <w:szCs w:val="20"/>
        </w:rPr>
        <w:t xml:space="preserve">Document energy community and low-income community bonus eligibility before financial close</w:t>
      </w:r>
    </w:p>
    <w:p>
      <w:pPr>
        <w:spacing w:after="0" w:before="80"/>
      </w:pPr>
      <w:r>
        <w:rPr>
          <w:sz w:val="2"/>
          <w:szCs w:val="2"/>
        </w:rPr>
        <w:t xml:space="preserve"/>
      </w:r>
    </w:p>
    <w:p>
      <w:pPr>
        <w:pBdr>
          <w:top w:val="single" w:color="0E2040" w:sz="2" w:space="0"/>
          <w:bottom w:val="single" w:color="0E2040" w:sz="10" w:space="0"/>
        </w:pBdr>
        <w:shd w:fill="E8EDF3" w:color="auto" w:val="clear"/>
        <w:spacing w:after="100" w:before="280" w:line="288" w:lineRule="auto"/>
      </w:pPr>
      <w:r>
        <w:rPr>
          <w:rFonts w:ascii="Calibri" w:cs="Calibri" w:eastAsia="Calibri" w:hAnsi="Calibri"/>
          <w:b/>
          <w:bCs/>
          <w:i w:val="false"/>
          <w:iCs w:val="false"/>
          <w:color w:val="0E2040"/>
          <w:sz w:val="28"/>
          <w:szCs w:val="28"/>
        </w:rPr>
        <w:t xml:space="preserve">9.  DATA SOURCES &amp; CITATIONS</w:t>
      </w:r>
    </w:p>
    <w:tbl>
      <w:tblPr>
        <w:tblW w:type="dxa" w:w="9072"/>
        <w:tblBorders>
          <w:top w:val="single" w:color="CCCCCC" w:sz="1" w:space="0"/>
          <w:left w:val="single" w:color="CCCCCC" w:sz="1" w:space="0"/>
          <w:bottom w:val="single" w:color="CCCCCC" w:sz="1" w:space="0"/>
          <w:right w:val="single" w:color="CCCCCC" w:sz="1" w:space="0"/>
          <w:insideH w:val="single" w:color="auto" w:sz="4"/>
          <w:insideV w:val="single" w:color="auto" w:sz="4"/>
        </w:tblBorders>
      </w:tblPr>
      <w:tblGrid>
        <w:gridCol w:w="2800"/>
        <w:gridCol w:w="2200"/>
        <w:gridCol w:w="4072"/>
      </w:tblGrid>
      <w:tr>
        <w:trPr>
          <w:tblHeader/>
        </w:trPr>
        <w:tc>
          <w:tcPr>
            <w:tcW w:type="dxa" w:w="2800"/>
            <w:tcBorders>
              <w:top w:val="single" w:color="0D7C7B" w:sz="1" w:space="0"/>
              <w:left w:val="single" w:color="0D7C7B" w:sz="1" w:space="0"/>
              <w:bottom w:val="single" w:color="0D7C7B" w:sz="1" w:space="0"/>
              <w:right w:val="single" w:color="0D7C7B" w:sz="1" w:space="0"/>
            </w:tcBorders>
            <w:shd w:fill="0E2040" w:color="auto" w:val="clear"/>
            <w:tcMar>
              <w:top w:type="dxa" w:w="80"/>
              <w:left w:type="dxa" w:w="120"/>
              <w:bottom w:type="dxa" w:w="80"/>
              <w:right w:type="dxa" w:w="80"/>
            </w:tcMar>
          </w:tcPr>
          <w:p>
            <w:pPr>
              <w:spacing w:after="100" w:before="0" w:line="288" w:lineRule="auto"/>
              <w:jc w:val="center"/>
            </w:pPr>
            <w:r>
              <w:rPr>
                <w:rFonts w:ascii="Calibri" w:cs="Calibri" w:eastAsia="Calibri" w:hAnsi="Calibri"/>
                <w:b/>
                <w:bCs/>
                <w:i w:val="false"/>
                <w:iCs w:val="false"/>
                <w:color w:val="FFFFFF"/>
                <w:sz w:val="18"/>
                <w:szCs w:val="18"/>
              </w:rPr>
              <w:t xml:space="preserve">Source</w:t>
            </w:r>
          </w:p>
        </w:tc>
        <w:tc>
          <w:tcPr>
            <w:tcW w:type="dxa" w:w="2200"/>
            <w:tcBorders>
              <w:top w:val="single" w:color="0D7C7B" w:sz="1" w:space="0"/>
              <w:left w:val="single" w:color="0D7C7B" w:sz="1" w:space="0"/>
              <w:bottom w:val="single" w:color="0D7C7B" w:sz="1" w:space="0"/>
              <w:right w:val="single" w:color="0D7C7B" w:sz="1" w:space="0"/>
            </w:tcBorders>
            <w:shd w:fill="0E2040" w:color="auto" w:val="clear"/>
            <w:tcMar>
              <w:top w:type="dxa" w:w="80"/>
              <w:left w:type="dxa" w:w="120"/>
              <w:bottom w:type="dxa" w:w="80"/>
              <w:right w:type="dxa" w:w="80"/>
            </w:tcMar>
          </w:tcPr>
          <w:p>
            <w:pPr>
              <w:spacing w:after="100" w:before="0" w:line="288" w:lineRule="auto"/>
              <w:jc w:val="center"/>
            </w:pPr>
            <w:r>
              <w:rPr>
                <w:rFonts w:ascii="Calibri" w:cs="Calibri" w:eastAsia="Calibri" w:hAnsi="Calibri"/>
                <w:b/>
                <w:bCs/>
                <w:i w:val="false"/>
                <w:iCs w:val="false"/>
                <w:color w:val="FFFFFF"/>
                <w:sz w:val="18"/>
                <w:szCs w:val="18"/>
              </w:rPr>
              <w:t xml:space="preserve">Organization</w:t>
            </w:r>
          </w:p>
        </w:tc>
        <w:tc>
          <w:tcPr>
            <w:tcW w:type="dxa" w:w="4072"/>
            <w:tcBorders>
              <w:top w:val="single" w:color="0D7C7B" w:sz="1" w:space="0"/>
              <w:left w:val="single" w:color="0D7C7B" w:sz="1" w:space="0"/>
              <w:bottom w:val="single" w:color="0D7C7B" w:sz="1" w:space="0"/>
              <w:right w:val="single" w:color="0D7C7B" w:sz="1" w:space="0"/>
            </w:tcBorders>
            <w:shd w:fill="0E2040" w:color="auto" w:val="clear"/>
            <w:tcMar>
              <w:top w:type="dxa" w:w="80"/>
              <w:left w:type="dxa" w:w="120"/>
              <w:bottom w:type="dxa" w:w="80"/>
              <w:right w:type="dxa" w:w="80"/>
            </w:tcMar>
          </w:tcPr>
          <w:p>
            <w:pPr>
              <w:spacing w:after="100" w:before="0" w:line="288" w:lineRule="auto"/>
              <w:jc w:val="center"/>
            </w:pPr>
            <w:r>
              <w:rPr>
                <w:rFonts w:ascii="Calibri" w:cs="Calibri" w:eastAsia="Calibri" w:hAnsi="Calibri"/>
                <w:b/>
                <w:bCs/>
                <w:i w:val="false"/>
                <w:iCs w:val="false"/>
                <w:color w:val="FFFFFF"/>
                <w:sz w:val="18"/>
                <w:szCs w:val="18"/>
              </w:rPr>
              <w:t xml:space="preserve">URL / Reference</w:t>
            </w:r>
          </w:p>
        </w:tc>
      </w:tr>
      <w:tr>
        <w:tc>
          <w:tcPr>
            <w:tcW w:type="dxa" w:w="28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MassGIS 2020 EJ Population Layer</w:t>
            </w:r>
          </w:p>
        </w:tc>
        <w:tc>
          <w:tcPr>
            <w:tcW w:type="dxa" w:w="22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MassGIS / OEJE</w:t>
            </w:r>
          </w:p>
        </w:tc>
        <w:tc>
          <w:tcPr>
            <w:tcW w:type="dxa" w:w="4072"/>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mass.gov/massgis · Census 2020 + ACS 2016–20 5-yr</w:t>
            </w:r>
          </w:p>
        </w:tc>
      </w:tr>
      <w:tr>
        <w:tc>
          <w:tcPr>
            <w:tcW w:type="dxa" w:w="28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CIA Standards &amp; Guidelines</w:t>
            </w:r>
          </w:p>
        </w:tc>
        <w:tc>
          <w:tcPr>
            <w:tcW w:type="dxa" w:w="22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OEJE</w:t>
            </w:r>
          </w:p>
        </w:tc>
        <w:tc>
          <w:tcPr>
            <w:tcW w:type="dxa" w:w="4072"/>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980 CMR 15.00 (issued Jan 23, 2026)</w:t>
            </w:r>
          </w:p>
        </w:tc>
      </w:tr>
      <w:tr>
        <w:tc>
          <w:tcPr>
            <w:tcW w:type="dxa" w:w="28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Eversource Hosting Capacity Map</w:t>
            </w:r>
          </w:p>
        </w:tc>
        <w:tc>
          <w:tcPr>
            <w:tcW w:type="dxa" w:w="22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Eversource / envelio</w:t>
            </w:r>
          </w:p>
        </w:tc>
        <w:tc>
          <w:tcPr>
            <w:tcW w:type="dxa" w:w="4072"/>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eversource.com/interconnections/ma/hosting-capacity-map</w:t>
            </w:r>
          </w:p>
        </w:tc>
      </w:tr>
      <w:tr>
        <w:tc>
          <w:tcPr>
            <w:tcW w:type="dxa" w:w="28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Eversource DER Project Costs</w:t>
            </w:r>
          </w:p>
        </w:tc>
        <w:tc>
          <w:tcPr>
            <w:tcW w:type="dxa" w:w="22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Eversource</w:t>
            </w:r>
          </w:p>
        </w:tc>
        <w:tc>
          <w:tcPr>
            <w:tcW w:type="dxa" w:w="4072"/>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Published July 2021–2022</w:t>
            </w:r>
          </w:p>
        </w:tc>
      </w:tr>
      <w:tr>
        <w:tc>
          <w:tcPr>
            <w:tcW w:type="dxa" w:w="28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National Grid MA System Data Portal</w:t>
            </w:r>
          </w:p>
        </w:tc>
        <w:tc>
          <w:tcPr>
            <w:tcW w:type="dxa" w:w="22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National Grid</w:t>
            </w:r>
          </w:p>
        </w:tc>
        <w:tc>
          <w:tcPr>
            <w:tcW w:type="dxa" w:w="4072"/>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systemdataportal.nationalgrid.com/MA/</w:t>
            </w:r>
          </w:p>
        </w:tc>
      </w:tr>
      <w:tr>
        <w:tc>
          <w:tcPr>
            <w:tcW w:type="dxa" w:w="28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U.S. DOE Hosting Capacity Atlas</w:t>
            </w:r>
          </w:p>
        </w:tc>
        <w:tc>
          <w:tcPr>
            <w:tcW w:type="dxa" w:w="22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DOE / CMEI</w:t>
            </w:r>
          </w:p>
        </w:tc>
        <w:tc>
          <w:tcPr>
            <w:tcW w:type="dxa" w:w="4072"/>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energy.gov/cmei/us-atlas (updated Jul 2025)</w:t>
            </w:r>
          </w:p>
        </w:tc>
      </w:tr>
      <w:tr>
        <w:tc>
          <w:tcPr>
            <w:tcW w:type="dxa" w:w="28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ISO-NE 2024 Annual Markets Report</w:t>
            </w:r>
          </w:p>
        </w:tc>
        <w:tc>
          <w:tcPr>
            <w:tcW w:type="dxa" w:w="22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ISO-NE</w:t>
            </w:r>
          </w:p>
        </w:tc>
        <w:tc>
          <w:tcPr>
            <w:tcW w:type="dxa" w:w="4072"/>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iso-ne.com (May 2025)</w:t>
            </w:r>
          </w:p>
        </w:tc>
      </w:tr>
      <w:tr>
        <w:tc>
          <w:tcPr>
            <w:tcW w:type="dxa" w:w="28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ISO-NE FCA Results (FCA 14–18)</w:t>
            </w:r>
          </w:p>
        </w:tc>
        <w:tc>
          <w:tcPr>
            <w:tcW w:type="dxa" w:w="22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ISO Newswire</w:t>
            </w:r>
          </w:p>
        </w:tc>
        <w:tc>
          <w:tcPr>
            <w:tcW w:type="dxa" w:w="4072"/>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isonewswire.com</w:t>
            </w:r>
          </w:p>
        </w:tc>
      </w:tr>
      <w:tr>
        <w:tc>
          <w:tcPr>
            <w:tcW w:type="dxa" w:w="28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ISO-NE 2024 EMM Report</w:t>
            </w:r>
          </w:p>
        </w:tc>
        <w:tc>
          <w:tcPr>
            <w:tcW w:type="dxa" w:w="22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ISO-NE</w:t>
            </w:r>
          </w:p>
        </w:tc>
        <w:tc>
          <w:tcPr>
            <w:tcW w:type="dxa" w:w="4072"/>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iso-ne.com/static-assets/documents/100025/</w:t>
            </w:r>
          </w:p>
        </w:tc>
      </w:tr>
      <w:tr>
        <w:tc>
          <w:tcPr>
            <w:tcW w:type="dxa" w:w="28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NREL 2025 Battery Cost Projections</w:t>
            </w:r>
          </w:p>
        </w:tc>
        <w:tc>
          <w:tcPr>
            <w:tcW w:type="dxa" w:w="22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NREL</w:t>
            </w:r>
          </w:p>
        </w:tc>
        <w:tc>
          <w:tcPr>
            <w:tcW w:type="dxa" w:w="4072"/>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DOI: 10.2172/2583471</w:t>
            </w:r>
          </w:p>
        </w:tc>
      </w:tr>
      <w:tr>
        <w:tc>
          <w:tcPr>
            <w:tcW w:type="dxa" w:w="28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NREL 2024 Annual Technology Baseline</w:t>
            </w:r>
          </w:p>
        </w:tc>
        <w:tc>
          <w:tcPr>
            <w:tcW w:type="dxa" w:w="22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NREL</w:t>
            </w:r>
          </w:p>
        </w:tc>
        <w:tc>
          <w:tcPr>
            <w:tcW w:type="dxa" w:w="4072"/>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atb.nrel.gov/electricity/2024/</w:t>
            </w:r>
          </w:p>
        </w:tc>
      </w:tr>
      <w:tr>
        <w:tc>
          <w:tcPr>
            <w:tcW w:type="dxa" w:w="28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DOER Model BESS Bylaw</w:t>
            </w:r>
          </w:p>
        </w:tc>
        <w:tc>
          <w:tcPr>
            <w:tcW w:type="dxa" w:w="22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MassDOER</w:t>
            </w:r>
          </w:p>
        </w:tc>
        <w:tc>
          <w:tcPr>
            <w:tcW w:type="dxa" w:w="4072"/>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mass.gov (Oct 6, 2025)</w:t>
            </w:r>
          </w:p>
        </w:tc>
      </w:tr>
      <w:tr>
        <w:tc>
          <w:tcPr>
            <w:tcW w:type="dxa" w:w="28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MA 2024 Climate Act Chapter 239</w:t>
            </w:r>
          </w:p>
        </w:tc>
        <w:tc>
          <w:tcPr>
            <w:tcW w:type="dxa" w:w="22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MA Legislature</w:t>
            </w:r>
          </w:p>
        </w:tc>
        <w:tc>
          <w:tcPr>
            <w:tcW w:type="dxa" w:w="4072"/>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Signed November 20, 2024</w:t>
            </w:r>
          </w:p>
        </w:tc>
      </w:tr>
      <w:tr>
        <w:tc>
          <w:tcPr>
            <w:tcW w:type="dxa" w:w="28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Pierce Atwood Chapter 239 Analysis</w:t>
            </w:r>
          </w:p>
        </w:tc>
        <w:tc>
          <w:tcPr>
            <w:tcW w:type="dxa" w:w="22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Pierce Atwood LLP</w:t>
            </w:r>
          </w:p>
        </w:tc>
        <w:tc>
          <w:tcPr>
            <w:tcW w:type="dxa" w:w="4072"/>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pierceatwood.com (Nov 2024)</w:t>
            </w:r>
          </w:p>
        </w:tc>
      </w:tr>
      <w:tr>
        <w:tc>
          <w:tcPr>
            <w:tcW w:type="dxa" w:w="28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Energizar project details</w:t>
            </w:r>
          </w:p>
        </w:tc>
        <w:tc>
          <w:tcPr>
            <w:tcW w:type="dxa" w:w="22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Flatiron Energy</w:t>
            </w:r>
          </w:p>
        </w:tc>
        <w:tc>
          <w:tcPr>
            <w:tcW w:type="dxa" w:w="4072"/>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energizar.energy</w:t>
            </w:r>
          </w:p>
        </w:tc>
      </w:tr>
      <w:tr>
        <w:tc>
          <w:tcPr>
            <w:tcW w:type="dxa" w:w="28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Trimount ESS project details</w:t>
            </w:r>
          </w:p>
        </w:tc>
        <w:tc>
          <w:tcPr>
            <w:tcW w:type="dxa" w:w="22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Jupiter Power</w:t>
            </w:r>
          </w:p>
        </w:tc>
        <w:tc>
          <w:tcPr>
            <w:tcW w:type="dxa" w:w="4072"/>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trimountenergy.com</w:t>
            </w:r>
          </w:p>
        </w:tc>
      </w:tr>
      <w:tr>
        <w:tc>
          <w:tcPr>
            <w:tcW w:type="dxa" w:w="28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Chelsea Record (PILOT &amp; permitting)</w:t>
            </w:r>
          </w:p>
        </w:tc>
        <w:tc>
          <w:tcPr>
            <w:tcW w:type="dxa" w:w="22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Chelsea Record</w:t>
            </w:r>
          </w:p>
        </w:tc>
        <w:tc>
          <w:tcPr>
            <w:tcW w:type="dxa" w:w="4072"/>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chelsearecord.com (Jul &amp; Oct 2024)</w:t>
            </w:r>
          </w:p>
        </w:tc>
      </w:tr>
      <w:tr>
        <w:tc>
          <w:tcPr>
            <w:tcW w:type="dxa" w:w="28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Boston Globe (Everett coverage)</w:t>
            </w:r>
          </w:p>
        </w:tc>
        <w:tc>
          <w:tcPr>
            <w:tcW w:type="dxa" w:w="22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Boston Globe</w:t>
            </w:r>
          </w:p>
        </w:tc>
        <w:tc>
          <w:tcPr>
            <w:tcW w:type="dxa" w:w="4072"/>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bostonglobe.com (May &amp; Dec 2024, Dec 2025)</w:t>
            </w:r>
          </w:p>
        </w:tc>
      </w:tr>
      <w:tr>
        <w:tc>
          <w:tcPr>
            <w:tcW w:type="dxa" w:w="28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CommonWealth Beacon (83E Round 1)</w:t>
            </w:r>
          </w:p>
        </w:tc>
        <w:tc>
          <w:tcPr>
            <w:tcW w:type="dxa" w:w="22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CommonWealth Beacon</w:t>
            </w:r>
          </w:p>
        </w:tc>
        <w:tc>
          <w:tcPr>
            <w:tcW w:type="dxa" w:w="4072"/>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commonwealthbeacon.org (Dec 2025)</w:t>
            </w:r>
          </w:p>
        </w:tc>
      </w:tr>
      <w:tr>
        <w:tc>
          <w:tcPr>
            <w:tcW w:type="dxa" w:w="28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pv magazine USA (83E Round 1)</w:t>
            </w:r>
          </w:p>
        </w:tc>
        <w:tc>
          <w:tcPr>
            <w:tcW w:type="dxa" w:w="22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pv magazine USA</w:t>
            </w:r>
          </w:p>
        </w:tc>
        <w:tc>
          <w:tcPr>
            <w:tcW w:type="dxa" w:w="4072"/>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pv-magazine-usa.com (Dec 2025)</w:t>
            </w:r>
          </w:p>
        </w:tc>
      </w:tr>
      <w:tr>
        <w:tc>
          <w:tcPr>
            <w:tcW w:type="dxa" w:w="28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MassCEC 2024 Annual Report</w:t>
            </w:r>
          </w:p>
        </w:tc>
        <w:tc>
          <w:tcPr>
            <w:tcW w:type="dxa" w:w="22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MassCEC</w:t>
            </w:r>
          </w:p>
        </w:tc>
        <w:tc>
          <w:tcPr>
            <w:tcW w:type="dxa" w:w="4072"/>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reports.masscec.com/2024/</w:t>
            </w:r>
          </w:p>
        </w:tc>
      </w:tr>
      <w:tr>
        <w:tc>
          <w:tcPr>
            <w:tcW w:type="dxa" w:w="28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MA Zoning Atlas</w:t>
            </w:r>
          </w:p>
        </w:tc>
        <w:tc>
          <w:tcPr>
            <w:tcW w:type="dxa" w:w="2200"/>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National Zoning Atlas / Suffolk Univ.</w:t>
            </w:r>
          </w:p>
        </w:tc>
        <w:tc>
          <w:tcPr>
            <w:tcW w:type="dxa" w:w="4072"/>
            <w:tcBorders>
              <w:top w:val="single" w:color="DDDDDD" w:sz="1" w:space="0"/>
              <w:left w:val="single" w:color="DDDDDD" w:sz="1" w:space="0"/>
              <w:bottom w:val="single" w:color="DDDDDD" w:sz="1" w:space="0"/>
              <w:right w:val="single" w:color="DDDDDD" w:sz="1" w:space="0"/>
            </w:tcBorders>
            <w:shd w:fill="F5F7FA"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zoningatlas.org/massachusetts</w:t>
            </w:r>
          </w:p>
        </w:tc>
      </w:tr>
      <w:tr>
        <w:tc>
          <w:tcPr>
            <w:tcW w:type="dxa" w:w="28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LBNL Interconnection Cost Analysis</w:t>
            </w:r>
          </w:p>
        </w:tc>
        <w:tc>
          <w:tcPr>
            <w:tcW w:type="dxa" w:w="2200"/>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Lawrence Berkeley National Lab</w:t>
            </w:r>
          </w:p>
        </w:tc>
        <w:tc>
          <w:tcPr>
            <w:tcW w:type="dxa" w:w="4072"/>
            <w:tcBorders>
              <w:top w:val="single" w:color="DDDDDD" w:sz="1" w:space="0"/>
              <w:left w:val="single" w:color="DDDDDD" w:sz="1" w:space="0"/>
              <w:bottom w:val="single" w:color="DDDDDD" w:sz="1" w:space="0"/>
              <w:right w:val="single" w:color="DDDDDD" w:sz="1" w:space="0"/>
            </w:tcBorders>
            <w:shd w:fill="FFFFFF" w:color="auto" w:val="clear"/>
            <w:tcMar>
              <w:top w:type="dxa" w:w="70"/>
              <w:left w:type="dxa" w:w="120"/>
              <w:bottom w:type="dxa" w:w="70"/>
              <w:right w:type="dxa" w:w="80"/>
            </w:tcMar>
          </w:tcPr>
          <w:p>
            <w:pPr>
              <w:spacing w:after="100" w:before="0" w:line="288" w:lineRule="auto"/>
              <w:jc w:val="left"/>
            </w:pPr>
            <w:r>
              <w:rPr>
                <w:rFonts w:ascii="Calibri" w:cs="Calibri" w:eastAsia="Calibri" w:hAnsi="Calibri"/>
                <w:b w:val="false"/>
                <w:bCs w:val="false"/>
                <w:i w:val="false"/>
                <w:iCs w:val="false"/>
                <w:color w:val="1A1A2E"/>
                <w:sz w:val="19"/>
                <w:szCs w:val="19"/>
              </w:rPr>
              <w:t xml:space="preserve">Jun 2023</w:t>
            </w:r>
          </w:p>
        </w:tc>
      </w:tr>
    </w:tbl>
    <w:p>
      <w:pPr>
        <w:spacing w:after="0" w:before="100"/>
      </w:pPr>
      <w:r>
        <w:rPr>
          <w:sz w:val="2"/>
          <w:szCs w:val="2"/>
        </w:rPr>
        <w:t xml:space="preserve"/>
      </w:r>
    </w:p>
    <w:p>
      <w:pPr>
        <w:pBdr>
          <w:bottom w:val="single" w:color="0E2040" w:sz="6" w:space="0"/>
        </w:pBdr>
        <w:spacing w:after="100" w:before="100"/>
      </w:pPr>
      <w:r>
        <w:rPr>
          <w:sz w:val="4"/>
          <w:szCs w:val="4"/>
        </w:rPr>
        <w:t xml:space="preserve"/>
      </w:r>
    </w:p>
    <w:p>
      <w:pPr>
        <w:spacing w:after="100" w:before="80" w:line="264" w:lineRule="auto"/>
        <w:jc w:val="left"/>
      </w:pPr>
      <w:r>
        <w:rPr>
          <w:rFonts w:ascii="Calibri" w:cs="Calibri" w:eastAsia="Calibri" w:hAnsi="Calibri"/>
          <w:b w:val="false"/>
          <w:bCs w:val="false"/>
          <w:i/>
          <w:iCs/>
          <w:color w:val="6B7C8D"/>
          <w:sz w:val="17"/>
          <w:szCs w:val="17"/>
        </w:rPr>
        <w:t xml:space="preserve">This document is prepared for informational purposes only. It does not constitute legal, regulatory, or financial advice. Developers should engage qualified legal counsel for EJ compliance, interconnection applications, and incentive tax credit structuring. All data current as of April 2026.</w:t>
      </w:r>
    </w:p>
    <w:sectPr>
      <w:headerReference w:type="default" r:id="rId7"/>
      <w:footerReference w:type="default" r:id="rId8"/>
      <w:pgSz w:w="12240" w:h="15840" w:orient="portrait"/>
      <w:pgMar w:top="1008" w:right="1008" w:bottom="1008"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6000"/>
      <w:gridCol w:w="3072"/>
    </w:tblGrid>
    <w:tr>
      <w:tc>
        <w:tcPr>
          <w:tcW w:type="dxa" w:w="6000"/>
          <w:tcBorders>
            <w:top w:val="single" w:color="E8EDF3" w:sz="2" w:space="0"/>
            <w:left w:val="none" w:color="FFFFFF" w:sz="0" w:space="0"/>
            <w:bottom w:val="none" w:color="FFFFFF" w:sz="0" w:space="0"/>
            <w:right w:val="none" w:color="FFFFFF" w:sz="0" w:space="0"/>
          </w:tcBorders>
          <w:tcMar>
            <w:top w:type="dxa" w:w="60"/>
            <w:left w:type="dxa" w:w="0"/>
            <w:bottom w:type="dxa" w:w="0"/>
            <w:right w:type="dxa" w:w="0"/>
          </w:tcMar>
        </w:tcPr>
        <w:p>
          <w:pPr>
            <w:spacing w:after="100" w:before="0" w:line="288" w:lineRule="auto"/>
            <w:jc w:val="left"/>
          </w:pPr>
          <w:r>
            <w:rPr>
              <w:rFonts w:ascii="Calibri" w:cs="Calibri" w:eastAsia="Calibri" w:hAnsi="Calibri"/>
              <w:b w:val="false"/>
              <w:bCs w:val="false"/>
              <w:i/>
              <w:iCs/>
              <w:color w:val="6B7C8D"/>
              <w:sz w:val="15"/>
              <w:szCs w:val="15"/>
            </w:rPr>
            <w:t xml:space="preserve">CONFIDENTIAL · TPS × MassDOER Fellowship Project · For Private Developer Use</w:t>
          </w:r>
        </w:p>
      </w:tc>
      <w:tc>
        <w:tcPr>
          <w:tcW w:type="dxa" w:w="3072"/>
          <w:tcBorders>
            <w:top w:val="single" w:color="E8EDF3" w:sz="2" w:space="0"/>
            <w:left w:val="none" w:color="FFFFFF" w:sz="0" w:space="0"/>
            <w:bottom w:val="none" w:color="FFFFFF" w:sz="0" w:space="0"/>
            <w:right w:val="none" w:color="FFFFFF" w:sz="0" w:space="0"/>
          </w:tcBorders>
          <w:tcMar>
            <w:top w:type="dxa" w:w="60"/>
            <w:left w:type="dxa" w:w="0"/>
            <w:bottom w:type="dxa" w:w="0"/>
            <w:right w:type="dxa" w:w="0"/>
          </w:tcMar>
        </w:tcPr>
        <w:p>
          <w:pPr>
            <w:spacing w:after="0" w:before="0"/>
            <w:jc w:val="right"/>
          </w:pPr>
          <w:r>
            <w:rPr>
              <w:rFonts w:ascii="Calibri" w:cs="Calibri" w:eastAsia="Calibri" w:hAnsi="Calibri"/>
              <w:b w:val="false"/>
              <w:bCs w:val="false"/>
              <w:i w:val="false"/>
              <w:iCs w:val="false"/>
              <w:color w:val="6B7C8D"/>
              <w:sz w:val="15"/>
              <w:szCs w:val="15"/>
            </w:rPr>
            <w:t xml:space="preserve">Page </w:t>
          </w:r>
          <w:r>
            <w:rPr>
              <w:rFonts w:ascii="Calibri" w:cs="Calibri" w:eastAsia="Calibri" w:hAnsi="Calibri"/>
              <w:color w:val="6B7C8D"/>
              <w:sz w:val="15"/>
              <w:szCs w:val="15"/>
            </w:rPr>
            <w:fldChar w:fldCharType="begin"/>
            <w:instrText xml:space="preserve">PAGE</w:instrText>
            <w:fldChar w:fldCharType="separate"/>
            <w:fldChar w:fldCharType="end"/>
          </w:r>
          <w:r>
            <w:rPr>
              <w:rFonts w:ascii="Calibri" w:cs="Calibri" w:eastAsia="Calibri" w:hAnsi="Calibri"/>
              <w:b w:val="false"/>
              <w:bCs w:val="false"/>
              <w:i w:val="false"/>
              <w:iCs w:val="false"/>
              <w:color w:val="6B7C8D"/>
              <w:sz w:val="15"/>
              <w:szCs w:val="15"/>
            </w:rPr>
            <w:t xml:space="preserve"> of </w:t>
          </w:r>
          <w:r>
            <w:rPr>
              <w:rFonts w:ascii="Calibri" w:cs="Calibri" w:eastAsia="Calibri" w:hAnsi="Calibri"/>
              <w:color w:val="6B7C8D"/>
              <w:sz w:val="15"/>
              <w:szCs w:val="15"/>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72"/>
      <w:tblBorders>
        <w:top w:val="none" w:color="FFFFFF" w:sz="0" w:space="0"/>
        <w:left w:val="none" w:color="FFFFFF" w:sz="0" w:space="0"/>
        <w:bottom w:val="none" w:color="FFFFFF" w:sz="0" w:space="0"/>
        <w:right w:val="none" w:color="FFFFFF" w:sz="0" w:space="0"/>
        <w:insideH w:val="single" w:color="auto" w:sz="4"/>
        <w:insideV w:val="single" w:color="auto" w:sz="4"/>
      </w:tblBorders>
    </w:tblPr>
    <w:tblGrid>
      <w:gridCol w:w="6200"/>
      <w:gridCol w:w="2872"/>
    </w:tblGrid>
    <w:tr>
      <w:tc>
        <w:tcPr>
          <w:tcW w:type="dxa" w:w="6200"/>
          <w:tcBorders>
            <w:top w:val="none" w:color="FFFFFF" w:sz="0" w:space="0"/>
            <w:left w:val="none" w:color="FFFFFF" w:sz="0" w:space="0"/>
            <w:bottom w:val="single" w:color="0D7C7B" w:sz="4" w:space="0"/>
            <w:right w:val="none" w:color="FFFFFF" w:sz="0" w:space="0"/>
          </w:tcBorders>
          <w:tcMar>
            <w:top w:type="dxa" w:w="0"/>
            <w:left w:type="dxa" w:w="0"/>
            <w:bottom w:type="dxa" w:w="60"/>
            <w:right w:type="dxa" w:w="0"/>
          </w:tcMar>
        </w:tcPr>
        <w:p>
          <w:pPr>
            <w:spacing w:after="100" w:before="0" w:line="288" w:lineRule="auto"/>
            <w:jc w:val="left"/>
          </w:pPr>
          <w:r>
            <w:rPr>
              <w:rFonts w:ascii="Calibri" w:cs="Calibri" w:eastAsia="Calibri" w:hAnsi="Calibri"/>
              <w:b/>
              <w:bCs/>
              <w:i w:val="false"/>
              <w:iCs w:val="false"/>
              <w:color w:val="0D7C7B"/>
              <w:sz w:val="16"/>
              <w:szCs w:val="16"/>
            </w:rPr>
            <w:t xml:space="preserve">Next-Generation BESS Siting Tool  ·  Private Developer Stakeholder Guide</w:t>
          </w:r>
        </w:p>
      </w:tc>
      <w:tc>
        <w:tcPr>
          <w:tcW w:type="dxa" w:w="2872"/>
          <w:tcBorders>
            <w:top w:val="none" w:color="FFFFFF" w:sz="0" w:space="0"/>
            <w:left w:val="none" w:color="FFFFFF" w:sz="0" w:space="0"/>
            <w:bottom w:val="single" w:color="0D7C7B" w:sz="4" w:space="0"/>
            <w:right w:val="none" w:color="FFFFFF" w:sz="0" w:space="0"/>
          </w:tcBorders>
          <w:tcMar>
            <w:top w:type="dxa" w:w="0"/>
            <w:left w:type="dxa" w:w="0"/>
            <w:bottom w:type="dxa" w:w="60"/>
            <w:right w:type="dxa" w:w="0"/>
          </w:tcMar>
        </w:tcPr>
        <w:p>
          <w:pPr>
            <w:spacing w:after="100" w:before="0" w:line="288" w:lineRule="auto"/>
            <w:jc w:val="right"/>
          </w:pPr>
          <w:r>
            <w:rPr>
              <w:rFonts w:ascii="Calibri" w:cs="Calibri" w:eastAsia="Calibri" w:hAnsi="Calibri"/>
              <w:b w:val="false"/>
              <w:bCs w:val="false"/>
              <w:i w:val="false"/>
              <w:iCs w:val="false"/>
              <w:color w:val="6B7C8D"/>
              <w:sz w:val="16"/>
              <w:szCs w:val="16"/>
            </w:rPr>
            <w:t xml:space="preserve">TPS × MassDOER  ·  April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440" w:hanging="220"/>
      </w:pPr>
    </w:lvl>
  </w:abstractNum>
  <w:abstractNum w:abstractNumId="3" w15:restartNumberingAfterBreak="0">
    <w:multiLevelType w:val="hybridMultilevel"/>
    <w:lvl w:ilvl="0" w15:tentative="1">
      <w:start w:val="1"/>
      <w:numFmt w:val="decimal"/>
      <w:lvlText w:val="%1."/>
      <w:lvlJc w:val="left"/>
      <w:pPr>
        <w:spacing w:after="50" w:before="50"/>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2026-04-15T20:39:42.352Z</dcterms:created>
  <dcterms:modified xsi:type="dcterms:W3CDTF">2026-04-15T20:39:42.354Z</dcterms:modified>
</cp:coreProperties>
</file>

<file path=docProps/custom.xml><?xml version="1.0" encoding="utf-8"?>
<Properties xmlns="http://schemas.openxmlformats.org/officeDocument/2006/custom-properties" xmlns:vt="http://schemas.openxmlformats.org/officeDocument/2006/docPropsVTypes"/>
</file>