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88" w:lineRule="auto"/>
        <w:jc w:val="left"/>
      </w:pPr>
      <w:r>
        <w:rPr>
          <w:rFonts w:ascii="Calibri" w:cs="Calibri" w:eastAsia="Calibri" w:hAnsi="Calibri"/>
          <w:b/>
          <w:bCs/>
          <w:i w:val="false"/>
          <w:iCs w:val="false"/>
          <w:color w:val="000000"/>
          <w:sz w:val="36"/>
          <w:szCs w:val="36"/>
        </w:rPr>
        <w:t xml:space="preserve">BESS Siting Tool — Presentation v4</w:t>
      </w:r>
    </w:p>
    <w:p>
      <w:pPr>
        <w:spacing w:after="40" w:before="0" w:line="288" w:lineRule="auto"/>
        <w:jc w:val="left"/>
      </w:pPr>
      <w:r>
        <w:rPr>
          <w:rFonts w:ascii="Calibri" w:cs="Calibri" w:eastAsia="Calibri" w:hAnsi="Calibri"/>
          <w:b w:val="false"/>
          <w:bCs w:val="false"/>
          <w:i w:val="false"/>
          <w:iCs w:val="false"/>
          <w:color w:val="000000"/>
          <w:sz w:val="24"/>
          <w:szCs w:val="24"/>
        </w:rPr>
        <w:t xml:space="preserve">Complete Change Log: What Changed, Where, and Why</w:t>
      </w:r>
    </w:p>
    <w:p>
      <w:pPr>
        <w:spacing w:after="40" w:before="0" w:line="288" w:lineRule="auto"/>
        <w:jc w:val="left"/>
      </w:pPr>
      <w:r>
        <w:rPr>
          <w:rFonts w:ascii="Calibri" w:cs="Calibri" w:eastAsia="Calibri" w:hAnsi="Calibri"/>
          <w:b w:val="false"/>
          <w:bCs w:val="false"/>
          <w:i/>
          <w:iCs/>
          <w:color w:val="444444"/>
          <w:sz w:val="20"/>
          <w:szCs w:val="20"/>
        </w:rPr>
        <w:t xml:space="preserve">TPS × MassDOER Fellowship Project  ·  Monzia Moodie &amp; Kadir Farah  ·  April 2026</w:t>
      </w:r>
    </w:p>
    <w:p>
      <w:pPr>
        <w:pBdr>
          <w:bottom w:val="single" w:color="CCCCCC" w:sz="3" w:space="1"/>
        </w:pBdr>
        <w:spacing w:after="80" w:before="80"/>
      </w:pPr>
      <w:r>
        <w:rPr>
          <w:rFonts w:ascii="Calibri" w:cs="Calibri" w:eastAsia="Calibri" w:hAnsi="Calibri"/>
          <w:b w:val="false"/>
          <w:bCs w:val="false"/>
          <w:i w:val="false"/>
          <w:iCs w:val="false"/>
          <w:color w:val="000000"/>
          <w:sz w:val="4"/>
          <w:szCs w:val="4"/>
        </w:rPr>
        <w:t xml:space="preserve"/>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This document records every change made between presentation v3 and presentation v4. The trigger for all changes was the upload of two financial screening models: BESS_Financial_Model_Final__Everette_.xlsx and BESS_Financial_Model_Final__Chelsea_.xlsx. Those models provided authoritative, site-specific data that replaced the NREL-benchmark estimates and parcel-acreage assumptions used in v3. Changes are documented slide by slide.</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0.  The Core Finding That Drove All Changes</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two financial models established six facts that override everything previously estimated:</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2000"/>
        <w:gridCol w:w="2200"/>
        <w:gridCol w:w="2200"/>
        <w:gridCol w:w="2672"/>
      </w:tblGrid>
      <w:tr>
        <w:trPr>
          <w:tblHeader/>
        </w:trPr>
        <w:tc>
          <w:tcPr>
            <w:tcW w:type="dxa" w:w="20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Parameter</w:t>
            </w:r>
          </w:p>
        </w:tc>
        <w:tc>
          <w:tcPr>
            <w:tcW w:type="dxa" w:w="22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Previous Estimate (v3)</w:t>
            </w:r>
          </w:p>
        </w:tc>
        <w:tc>
          <w:tcPr>
            <w:tcW w:type="dxa" w:w="22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Actual Model — Everett</w:t>
            </w:r>
          </w:p>
        </w:tc>
        <w:tc>
          <w:tcPr>
            <w:tcW w:type="dxa" w:w="267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Actual Model — Chelsea</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Capacity</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 MW / 800 MWh (8hr)</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 MW / 60 MWh (4hr)</w:t>
            </w:r>
          </w:p>
        </w:tc>
        <w:tc>
          <w:tcPr>
            <w:tcW w:type="dxa" w:w="26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100 MW / 400 MWh (4hr)</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Battery cost</w:t>
            </w:r>
          </w:p>
        </w:tc>
        <w:tc>
          <w:tcPr>
            <w:tcW w:type="dxa" w:w="2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$334/kWh (NREL ATB 2024)</w:t>
            </w:r>
          </w:p>
        </w:tc>
        <w:tc>
          <w:tcPr>
            <w:tcW w:type="dxa" w:w="2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$300/kWh</w:t>
            </w:r>
          </w:p>
        </w:tc>
        <w:tc>
          <w:tcPr>
            <w:tcW w:type="dxa" w:w="26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$280/kWh (scale discount)</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Gross CAPEX</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$267M</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$25,130,000</w:t>
            </w:r>
          </w:p>
        </w:tc>
        <w:tc>
          <w:tcPr>
            <w:tcW w:type="dxa" w:w="26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$144,000,000</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Net CAPEX (ITC applied)</w:t>
            </w:r>
          </w:p>
        </w:tc>
        <w:tc>
          <w:tcPr>
            <w:tcW w:type="dxa" w:w="2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$134M at 50% ITC</w:t>
            </w:r>
          </w:p>
        </w:tc>
        <w:tc>
          <w:tcPr>
            <w:tcW w:type="dxa" w:w="2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$15,078,000 at 40% ITC</w:t>
            </w:r>
          </w:p>
        </w:tc>
        <w:tc>
          <w:tcPr>
            <w:tcW w:type="dxa" w:w="26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$86,400,000 at 40% ITC</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ITC assumption</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30%–70% range</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40% (PWA + domestic content)</w:t>
            </w:r>
          </w:p>
        </w:tc>
        <w:tc>
          <w:tcPr>
            <w:tcW w:type="dxa" w:w="26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40% (PWA + domestic content)</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Interconnection</w:t>
            </w:r>
          </w:p>
        </w:tc>
        <w:tc>
          <w:tcPr>
            <w:tcW w:type="dxa" w:w="2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$200K–$500K estimate</w:t>
            </w:r>
          </w:p>
        </w:tc>
        <w:tc>
          <w:tcPr>
            <w:tcW w:type="dxa" w:w="2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$2,000,000</w:t>
            </w:r>
          </w:p>
        </w:tc>
        <w:tc>
          <w:tcPr>
            <w:tcW w:type="dxa" w:w="26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$12,000,000</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NPV @ 8% WACC</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$56M (at 50% ITC, mid rev.)</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−$2,198,134 (NEGATIVE)</w:t>
            </w:r>
          </w:p>
        </w:tc>
        <w:tc>
          <w:tcPr>
            <w:tcW w:type="dxa" w:w="26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 $5,365,186 (positive)</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Unlevered IRR</w:t>
            </w:r>
          </w:p>
        </w:tc>
        <w:tc>
          <w:tcPr>
            <w:tcW w:type="dxa" w:w="2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w:t>
            </w:r>
          </w:p>
        </w:tc>
        <w:tc>
          <w:tcPr>
            <w:tcW w:type="dxa" w:w="2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5.93%</w:t>
            </w:r>
          </w:p>
        </w:tc>
        <w:tc>
          <w:tcPr>
            <w:tcW w:type="dxa" w:w="26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8.84%</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O&amp;M rate</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 of CAPEX</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 of gross CAPEX</w:t>
            </w:r>
          </w:p>
        </w:tc>
        <w:tc>
          <w:tcPr>
            <w:tcW w:type="dxa" w:w="26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 of gross CAPEX</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Augmentation (Yr 10)</w:t>
            </w:r>
          </w:p>
        </w:tc>
        <w:tc>
          <w:tcPr>
            <w:tcW w:type="dxa" w:w="2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modeled</w:t>
            </w:r>
          </w:p>
        </w:tc>
        <w:tc>
          <w:tcPr>
            <w:tcW w:type="dxa" w:w="2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$2,700,000 (15% of battery)</w:t>
            </w:r>
          </w:p>
        </w:tc>
        <w:tc>
          <w:tcPr>
            <w:tcW w:type="dxa" w:w="26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$16,800,000 (15% of battery)</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Investment verdict</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Both viable</w:t>
            </w:r>
          </w:p>
        </w:tc>
        <w:tc>
          <w:tcPr>
            <w:tcW w:type="dxa" w:w="2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investable (merchant)</w:t>
            </w:r>
          </w:p>
        </w:tc>
        <w:tc>
          <w:tcPr>
            <w:tcW w:type="dxa" w:w="26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Conditionally viable</w:t>
            </w:r>
          </w:p>
        </w:tc>
      </w:tr>
    </w:tbl>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Two structural inversions follow from the above. First, Everett is the smaller project (15 MW) and Chelsea is the larger project (100 MW) — the opposite of what v3 implied. Second, Chelsea (composite score 113) is the stronger near-term investment despite Everett scoring higher (119). A high MCE score identifies the best-quality site; investment viability also depends on scale, interconnection cost, and contracted revenue.</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dominant methodological correction is that both sites are interconnection-constrained, not land-constrained. The MW ceiling at each site is set by the grid hosting capacity of the local circuit or substation — confirmed by the interconnection cost figures in the models ($2M feeder vs. $12M substation). This means the tool's Layer 2 (Grid Feasibility) is the binding output for MW sizing, not Layer 4 (Physical Feasibility).</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  Slide 1 — Title Slide</w:t>
      </w:r>
    </w:p>
    <w:p>
      <w:pPr>
        <w:spacing w:after="60" w:before="180"/>
      </w:pPr>
      <w:r>
        <w:rPr>
          <w:rFonts w:ascii="Calibri" w:cs="Calibri" w:eastAsia="Calibri" w:hAnsi="Calibri"/>
          <w:b/>
          <w:bCs/>
          <w:i w:val="false"/>
          <w:iCs w:val="false"/>
          <w:color w:val="000000"/>
          <w:sz w:val="22"/>
          <w:szCs w:val="22"/>
          <w:u w:val="single"/>
        </w:rPr>
        <w:t xml:space="preserve">What changed</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Hero stat #4: '$1.3B+ Combined CAPEX Model' → '$169M Combined Gross CAPEX (Model)'.</w:t>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$1.3B was a residual reference to the external Trimount/Energizar projects removed in v3. The correct combined gross CAPEX from the two financial models is $25,130,000 (Everett) + $144,000,000 (Chelsea) = $169,130,000. This is the first number a senior audience sees on the title slide; it must match the source documents.</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2.  Slide 2 — Massachusetts Storage Imperative</w:t>
      </w:r>
    </w:p>
    <w:p>
      <w:pPr>
        <w:spacing w:after="60" w:before="180"/>
      </w:pPr>
      <w:r>
        <w:rPr>
          <w:rFonts w:ascii="Calibri" w:cs="Calibri" w:eastAsia="Calibri" w:hAnsi="Calibri"/>
          <w:b/>
          <w:bCs/>
          <w:i w:val="false"/>
          <w:iCs w:val="false"/>
          <w:color w:val="000000"/>
          <w:sz w:val="22"/>
          <w:szCs w:val="22"/>
          <w:u w:val="single"/>
        </w:rPr>
        <w:t xml:space="preserve">What changed</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No substantive content changes. Slide 2 uses shape-based visual metric blocks (not a chart) that were correctly set in v3.</w:t>
      </w:r>
    </w:p>
    <w:p>
      <w:pPr>
        <w:spacing w:after="60" w:before="180"/>
      </w:pPr>
      <w:r>
        <w:rPr>
          <w:rFonts w:ascii="Calibri" w:cs="Calibri" w:eastAsia="Calibri" w:hAnsi="Calibri"/>
          <w:b/>
          <w:bCs/>
          <w:i w:val="false"/>
          <w:iCs w:val="false"/>
          <w:color w:val="000000"/>
          <w:sz w:val="22"/>
          <w:szCs w:val="22"/>
          <w:u w:val="single"/>
        </w:rPr>
        <w:t xml:space="preserve">Why no change</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three statistics on the left (644 MWh installed, 1,285 MW permitted in S+M, 5,000 MW mandate) are unaffected by the financial model data and remain accurate.</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3.  Slide 3 — The Problem</w:t>
      </w:r>
    </w:p>
    <w:p>
      <w:pPr>
        <w:spacing w:after="60" w:before="180"/>
      </w:pPr>
      <w:r>
        <w:rPr>
          <w:rFonts w:ascii="Calibri" w:cs="Calibri" w:eastAsia="Calibri" w:hAnsi="Calibri"/>
          <w:b/>
          <w:bCs/>
          <w:i w:val="false"/>
          <w:iCs w:val="false"/>
          <w:color w:val="000000"/>
          <w:sz w:val="22"/>
          <w:szCs w:val="22"/>
          <w:u w:val="single"/>
        </w:rPr>
        <w:t xml:space="preserve">What changed</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One bullet in the 'What Our Tool Solves' column updated: 'MW sizing logic integrated with setback rules and parcel data' → 'MW sizing logic integrates grid hosting capacity as binding constraint.'</w:t>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financial models confirmed that the binding MW constraint at both sites is circuit/substation hosting capacity, not parcel geometry or setback rules. The solution the tool provides is Layer 2 analysis, not primarily Layer 4. Updating this single bullet corrects the implied mechanism.</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4.  Slide 4 — Methodology Foundation</w:t>
      </w:r>
    </w:p>
    <w:p>
      <w:pPr>
        <w:spacing w:after="60" w:before="180"/>
      </w:pPr>
      <w:r>
        <w:rPr>
          <w:rFonts w:ascii="Calibri" w:cs="Calibri" w:eastAsia="Calibri" w:hAnsi="Calibri"/>
          <w:b/>
          <w:bCs/>
          <w:i w:val="false"/>
          <w:iCs w:val="false"/>
          <w:color w:val="000000"/>
          <w:sz w:val="22"/>
          <w:szCs w:val="22"/>
          <w:u w:val="single"/>
        </w:rPr>
        <w:t xml:space="preserve">What changed</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One row in the right-hand 'Suffolk + Middlesex' column updated: 'Validated: Top 2 scores → site-specific investment analysis at parcel level' → 'Validated: Top 2 scores validated by project financial models (Everett &amp; Chelsea).'</w:t>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financial models are now the validation source. The updated language is more precise and makes the connection between the MCE scoring and the financial model output explicit.</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5.  Slide 5 — Five Integrated Evaluation Layers</w:t>
      </w:r>
    </w:p>
    <w:p>
      <w:pPr>
        <w:spacing w:after="60" w:before="180"/>
      </w:pPr>
      <w:r>
        <w:rPr>
          <w:rFonts w:ascii="Calibri" w:cs="Calibri" w:eastAsia="Calibri" w:hAnsi="Calibri"/>
          <w:b/>
          <w:bCs/>
          <w:i w:val="false"/>
          <w:iCs w:val="false"/>
          <w:color w:val="000000"/>
          <w:sz w:val="22"/>
          <w:szCs w:val="22"/>
          <w:u w:val="single"/>
        </w:rPr>
        <w:t xml:space="preserve">What changed</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Three of the five 'Key finding' callout boxes updated:</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1200"/>
        <w:gridCol w:w="3400"/>
        <w:gridCol w:w="4472"/>
      </w:tblGrid>
      <w:tr>
        <w:trPr>
          <w:tblHeader/>
        </w:trPr>
        <w:tc>
          <w:tcPr>
            <w:tcW w:type="dxa" w:w="12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Layer</w:t>
            </w:r>
          </w:p>
        </w:tc>
        <w:tc>
          <w:tcPr>
            <w:tcW w:type="dxa" w:w="34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Previous Key Finding (v3)</w:t>
            </w:r>
          </w:p>
        </w:tc>
        <w:tc>
          <w:tcPr>
            <w:tcW w:type="dxa" w:w="447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Updated Key Finding (v4)</w:t>
            </w:r>
          </w:p>
        </w:tc>
      </w:tr>
      <w:tr>
        <w:tc>
          <w:tcPr>
            <w:tcW w:type="dxa" w:w="1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Layer 2 — Grid Feasibility</w:t>
            </w:r>
          </w:p>
        </w:tc>
        <w:tc>
          <w:tcPr>
            <w:tcW w:type="dxa" w:w="3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(231 Beacham): Very High capacity, Very Low risk — 0.2 mi to 345 kV · Chelsea (283 Eastern): High capacity, Low risk</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KEY INSIGHT: Grid hosting capacity is the BINDING MW constraint — not parcel size. Everett feeder: 15 MW ceiling. Chelsea substation: 100 MW. Layer 2 drives the financial model.</w:t>
            </w:r>
          </w:p>
        </w:tc>
      </w:tr>
      <w:tr>
        <w:tc>
          <w:tcPr>
            <w:tcW w:type="dxa" w:w="1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Layer 4 — Physical Feasibility</w:t>
            </w:r>
          </w:p>
        </w:tc>
        <w:tc>
          <w:tcPr>
            <w:tcW w:type="dxa" w:w="3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231 Beacham, Everett: ~5 ac industrial brownfield → 200 MW modeled · 283 Eastern, Chelsea: ~3 ac industrial → 30 MW modeled</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CORRECTED: 231 Beacham: 15 MW / 60 MWh (4hr, feeder-constrained, $25.1M gross CAPEX) · 283 Eastern: 100 MW / 400 MWh (4hr, substation-scale, $144M gross CAPEX)</w:t>
            </w:r>
          </w:p>
        </w:tc>
      </w:tr>
      <w:tr>
        <w:tc>
          <w:tcPr>
            <w:tcW w:type="dxa" w:w="1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Layer 5 — Revenue Modeling</w:t>
            </w:r>
          </w:p>
        </w:tc>
        <w:tc>
          <w:tcPr>
            <w:tcW w:type="dxa" w:w="3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4hr BESS revenue stack: $90–$170+/kW-yr · Everett 8hr optimal (FCM+CPS) · Chelsea 4hr optimal · NEMA summer 2025: $53.31/MWh</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$130/kW-yr base confirmed by models. Everett: −$2.2M NPV, 5.9% IRR (needs &gt;$150/kW-yr). Chelsea: +$5.4M NPV, 8.8% IRR. 40% ITC confirmed; domestic content risk limits higher tiers.</w:t>
            </w:r>
          </w:p>
        </w:tc>
      </w:tr>
    </w:tbl>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Slide 5 presents the framework's outputs. The 'Key finding' column is where the tool's results are communicated for each layer. Every number in those boxes must match the financial model data. The previous Layer 4 finding (200 MW / 30 MW) was based on acreage estimates — wrong by 13× for Everett. The Layer 5 finding (8hr Everett) was inconsistent with the model's 4hr assumption. The Layer 2 finding needed to explicitly state the binding constraint conclusion.</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6.  Slide 6 — Data Architecture &amp; User Pathways</w:t>
      </w:r>
    </w:p>
    <w:p>
      <w:pPr>
        <w:spacing w:after="60" w:before="180"/>
      </w:pPr>
      <w:r>
        <w:rPr>
          <w:rFonts w:ascii="Calibri" w:cs="Calibri" w:eastAsia="Calibri" w:hAnsi="Calibri"/>
          <w:b/>
          <w:bCs/>
          <w:i w:val="false"/>
          <w:iCs w:val="false"/>
          <w:color w:val="000000"/>
          <w:sz w:val="22"/>
          <w:szCs w:val="22"/>
          <w:u w:val="single"/>
        </w:rPr>
        <w:t xml:space="preserve">What changed</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Developer audience ITC description: 'Stack ITC: base 30% → up to 70%' → 'base 30% → up to 40%+'.</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Data sources table: NREL entry updated from 'Installed cost projections: $334/kWh (2024)→$177 (2030)' to 'Installed cost projections — validated by financial models.'</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Data sources table: new 'BESS Financial Models' entry added as a primary data source.</w:t>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70% ITC figure appeared in multiple slides and was not supported by the models. Both models use 40% ITC, and the Everett model's commentary explicitly flags execution risk on achieving even the domestic content component of that 40%. Adding the financial models as a named data source is accurate — they are now primary inputs, not merely referenced documents.</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7.  Slide 7 — EJ Screening (Layer 1)</w:t>
      </w:r>
    </w:p>
    <w:p>
      <w:pPr>
        <w:spacing w:after="60" w:before="180"/>
      </w:pPr>
      <w:r>
        <w:rPr>
          <w:rFonts w:ascii="Calibri" w:cs="Calibri" w:eastAsia="Calibri" w:hAnsi="Calibri"/>
          <w:b/>
          <w:bCs/>
          <w:i w:val="false"/>
          <w:iCs w:val="false"/>
          <w:color w:val="000000"/>
          <w:sz w:val="22"/>
          <w:szCs w:val="22"/>
          <w:u w:val="single"/>
        </w:rPr>
        <w:t xml:space="preserve">What changed</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No substantive content changes.</w:t>
      </w:r>
    </w:p>
    <w:p>
      <w:pPr>
        <w:spacing w:after="60" w:before="180"/>
      </w:pPr>
      <w:r>
        <w:rPr>
          <w:rFonts w:ascii="Calibri" w:cs="Calibri" w:eastAsia="Calibri" w:hAnsi="Calibri"/>
          <w:b/>
          <w:bCs/>
          <w:i w:val="false"/>
          <w:iCs w:val="false"/>
          <w:color w:val="000000"/>
          <w:sz w:val="22"/>
          <w:szCs w:val="22"/>
          <w:u w:val="single"/>
        </w:rPr>
        <w:t xml:space="preserve">Why no change</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Layer 1 data — EJ block group designations, CIA 33-indicator framework, energy burden percentages — is sourced from MassGIS and is unaffected by the financial model data. Both sites remain 100% EJ-designated with CIA severity Very High.</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8.  Slide 8 — Grid Feasibility &amp; Zoning (Layers 2 &amp; 3)</w:t>
      </w:r>
    </w:p>
    <w:p>
      <w:pPr>
        <w:spacing w:after="60" w:before="180"/>
      </w:pPr>
      <w:r>
        <w:rPr>
          <w:rFonts w:ascii="Calibri" w:cs="Calibri" w:eastAsia="Calibri" w:hAnsi="Calibri"/>
          <w:b/>
          <w:bCs/>
          <w:i w:val="false"/>
          <w:iCs w:val="false"/>
          <w:color w:val="000000"/>
          <w:sz w:val="22"/>
          <w:szCs w:val="22"/>
          <w:u w:val="single"/>
        </w:rPr>
        <w:t xml:space="preserve">What changed</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Eversource hosting capacity description: added sentence — 'Circuit-level limits are the binding MW constraint at urban BESS sites.'</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Interconnection cost reference: replaced generic Eversource cost schedule ($400K–$9.5M/mile) with model-confirmed figures — 'Everett 231 Beacham: $2.0M (feeder-scale). Chelsea 283 Eastern: $12.0M (substation upgrade). Confirmed by project financial models.'</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EFSB note: updated to specify which site falls under each path — 'Chelsea (400 MWh) qualifies. Everett (60 MWh) uses local permitting path.'</w:t>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financial models provide specific, confirmed interconnection cost figures for each site. These are materially different: Everett's $2M feeder connection is low-risk and limits scale to 15 MW; Chelsea's $12M substation upgrade is the primary gating risk for that project. Using confirmed figures rather than generic ranges makes Layer 2 actionable. The EFSB note was updated because Chelsea's 400 MWh now clearly qualifies for EFSB sole jurisdiction while Everett's 60 MWh does not — a distinction with real permitting timeline implications.</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9.  Slide 9 — Physical Feasibility &amp; Revenue (Layers 4 &amp; 5)</w:t>
      </w:r>
    </w:p>
    <w:p>
      <w:pPr>
        <w:spacing w:after="60" w:before="180"/>
      </w:pPr>
      <w:r>
        <w:rPr>
          <w:rFonts w:ascii="Calibri" w:cs="Calibri" w:eastAsia="Calibri" w:hAnsi="Calibri"/>
          <w:b/>
          <w:bCs/>
          <w:i w:val="false"/>
          <w:iCs w:val="false"/>
          <w:color w:val="000000"/>
          <w:sz w:val="22"/>
          <w:szCs w:val="22"/>
          <w:u w:val="single"/>
        </w:rPr>
        <w:t xml:space="preserve">What changed — all four right-side narrative cards replaced</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960"/>
        <w:gridCol w:w="2400"/>
        <w:gridCol w:w="2800"/>
        <w:gridCol w:w="2912"/>
      </w:tblGrid>
      <w:tr>
        <w:trPr>
          <w:tblHeader/>
        </w:trPr>
        <w:tc>
          <w:tcPr>
            <w:tcW w:type="dxa" w:w="96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Card</w:t>
            </w:r>
          </w:p>
        </w:tc>
        <w:tc>
          <w:tcPr>
            <w:tcW w:type="dxa" w:w="24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Previous Content (v3)</w:t>
            </w:r>
          </w:p>
        </w:tc>
        <w:tc>
          <w:tcPr>
            <w:tcW w:type="dxa" w:w="28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Updated Content (v4)</w:t>
            </w:r>
          </w:p>
        </w:tc>
        <w:tc>
          <w:tcPr>
            <w:tcW w:type="dxa" w:w="291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Reason</w:t>
            </w:r>
          </w:p>
        </w:tc>
      </w:tr>
      <w:tr>
        <w:tc>
          <w:tcPr>
            <w:tcW w:type="dxa" w:w="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Card 1
MW Sizing Logic</w:t>
            </w:r>
          </w:p>
        </w:tc>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Net buildable area after 50 ft setbacks × power density (kW/sq ft) × duration coefficient. 231 Beacham: ~5 ac → 200 MW (8hr). 283 Eastern: ~3 ac → 30 MW (4hr).</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Project scale is INTERCONNECTION-CONSTRAINED, not land-constrained. 231 Beacham: 15 MW / 60 MWh (4hr) — feeder-level circuit connection at $2.0M. 283 Eastern: 100 MW / 400 MWh (4hr) — substation upgrade at $12.0M. Layer 2 is the binding MW ceiling.</w:t>
            </w:r>
          </w:p>
        </w:tc>
        <w:tc>
          <w:tcPr>
            <w:tcW w:type="dxa" w:w="291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The 200 MW and 30 MW figures were manual acreage × density estimates — wrong by 13× and 3.3× respectively. The corrected sizing comes directly from the financial models.</w:t>
            </w:r>
          </w:p>
        </w:tc>
      </w:tr>
      <w:tr>
        <w:tc>
          <w:tcPr>
            <w:tcW w:type="dxa" w:w="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Card 2
NREL Costs</w:t>
            </w:r>
          </w:p>
        </w:tc>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NREL 2024: $334/kWh (4hr LFP benchmark). O&amp;M: 2.5% of CAPEX/yr. Augmentation not modeled.</w:t>
            </w:r>
          </w:p>
        </w:tc>
        <w:tc>
          <w:tcPr>
            <w:tcW w:type="dxa" w:w="28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model: $300/kWh → Battery CAPEX $18M. Chelsea model: $280/kWh → Battery CAPEX $112M. O&amp;M: 2.0% of gross CAPEX/yr (both models). Augmentation at Year 10: 15% of battery CAPEX.</w:t>
            </w:r>
          </w:p>
        </w:tc>
        <w:tc>
          <w:tcPr>
            <w:tcW w:type="dxa" w:w="291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The $334/kWh NREL figure is the national benchmark. The models use negotiated project-specific prices ($300 and $280). O&amp;M was overstated by 25% (2.5% vs. 2.0%). Augmentation at Year 10 creates a large negative cash flow that affects IRR and was missing from v3.</w:t>
            </w:r>
          </w:p>
        </w:tc>
      </w:tr>
      <w:tr>
        <w:tc>
          <w:tcPr>
            <w:tcW w:type="dxa" w:w="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Card 3
ITC</w:t>
            </w:r>
          </w:p>
        </w:tc>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PWA (30%) + Energy Community (+10%) + Low-Income Community (+10–20%) = up to 60–70% ITC. Both sites qualify.</w:t>
            </w:r>
          </w:p>
        </w:tc>
        <w:tc>
          <w:tcPr>
            <w:tcW w:type="dxa" w:w="28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Both models assume 40% ITC: PWA (30%) + Domestic Content bonus (+10%). Low-income community and energy community bonuses (+10–20%) carry execution risk due to FEOC sourcing rules. Use 40% as base; model 50% as upside only.</w:t>
            </w:r>
          </w:p>
        </w:tc>
        <w:tc>
          <w:tcPr>
            <w:tcW w:type="dxa" w:w="291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The 70% ITC figure overstated the base case. The models use 40%. The Everett model commentary explicitly warns of domestic content execution risk. Presenting 50–70% as a standard expectation was misleading.</w:t>
            </w:r>
          </w:p>
        </w:tc>
      </w:tr>
      <w:tr>
        <w:tc>
          <w:tcPr>
            <w:tcW w:type="dxa" w:w="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Card 4
Investment Conditions</w:t>
            </w:r>
          </w:p>
        </w:tc>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Generic statement about revenue certainty.</w:t>
            </w:r>
          </w:p>
        </w:tc>
        <w:tc>
          <w:tcPr>
            <w:tcW w:type="dxa" w:w="28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Negative NPV at $130/kW-yr; requires Section 83E contracts or CPS optimization above $150/kW-yr. Chelsea: Positive NPV (+$5.4M), conditionally viable; leverage of 50–65% at 5.5–7.5% interest rate can push equity IRR to 12–15%.</w:t>
            </w:r>
          </w:p>
        </w:tc>
        <w:tc>
          <w:tcPr>
            <w:tcW w:type="dxa" w:w="291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The investment conditions are now site-specific and quantified, drawn from each model's commentary section.</w:t>
            </w:r>
          </w:p>
        </w:tc>
      </w:tr>
    </w:tbl>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10.  Slide 10 — Composite Siting Scores (All 13 Municipalities)</w:t>
      </w:r>
    </w:p>
    <w:p>
      <w:pPr>
        <w:spacing w:after="60" w:before="180"/>
      </w:pPr>
      <w:r>
        <w:rPr>
          <w:rFonts w:ascii="Calibri" w:cs="Calibri" w:eastAsia="Calibri" w:hAnsi="Calibri"/>
          <w:b/>
          <w:bCs/>
          <w:i w:val="false"/>
          <w:iCs w:val="false"/>
          <w:color w:val="000000"/>
          <w:sz w:val="22"/>
          <w:szCs w:val="22"/>
          <w:u w:val="single"/>
        </w:rPr>
        <w:t xml:space="preserve">What changed</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Introductory sentence updated: added 'though at different scales and with different investment conditions.'</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Bottom footnote: added — 'Note: Chelsea (113) is the stronger near-term investment. Everett (119) is the highest-scoring site at feeder scale (15 MW).'</w:t>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Without context, a reader seeing 119 for Everett vs. 113 for Chelsea will conclude Everett is the better investment. The financial models establish the opposite: Chelsea at 100 MW is conditionally viable; Everett at 15 MW has a negative NPV at base revenue assumptions. The score ranking is valid for site quality; the investment ranking is separate and must be stated explicitly.</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11.  Slide 11 — County &amp; Site Comparison</w:t>
      </w:r>
    </w:p>
    <w:p>
      <w:pPr>
        <w:spacing w:after="60" w:before="180"/>
      </w:pPr>
      <w:r>
        <w:rPr>
          <w:rFonts w:ascii="Calibri" w:cs="Calibri" w:eastAsia="Calibri" w:hAnsi="Calibri"/>
          <w:b/>
          <w:bCs/>
          <w:i w:val="false"/>
          <w:iCs w:val="false"/>
          <w:color w:val="000000"/>
          <w:sz w:val="22"/>
          <w:szCs w:val="22"/>
          <w:u w:val="single"/>
        </w:rPr>
        <w:t xml:space="preserve">What changed — seven targeted edits</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1600"/>
        <w:gridCol w:w="3000"/>
        <w:gridCol w:w="4472"/>
      </w:tblGrid>
      <w:tr>
        <w:trPr>
          <w:tblHeader/>
        </w:trPr>
        <w:tc>
          <w:tcPr>
            <w:tcW w:type="dxa" w:w="16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Element</w:t>
            </w:r>
          </w:p>
        </w:tc>
        <w:tc>
          <w:tcPr>
            <w:tcW w:type="dxa" w:w="30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Previous (v3)</w:t>
            </w:r>
          </w:p>
        </w:tc>
        <w:tc>
          <w:tcPr>
            <w:tcW w:type="dxa" w:w="447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Updated (v4)</w:t>
            </w:r>
          </w:p>
        </w:tc>
      </w:tr>
      <w:tr>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selected site label</w:t>
            </w:r>
          </w:p>
        </w:tc>
        <w:tc>
          <w:tcPr>
            <w:tcW w:type="dxa" w:w="3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283 Eastern Ave, Chelsea · Score 113/125</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283 Eastern Ave, Chelsea · Score 113/125 · 100 MW / 400 MWh</w:t>
            </w:r>
          </w:p>
        </w:tc>
      </w:tr>
      <w:tr>
        <w:tc>
          <w:tcPr>
            <w:tcW w:type="dxa" w:w="1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selected site label</w:t>
            </w:r>
          </w:p>
        </w:tc>
        <w:tc>
          <w:tcPr>
            <w:tcW w:type="dxa" w:w="3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231 Beacham St, Everett · Score 119/125</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231 Beacham St, Everett · Score 119/125 · 15 MW / 60 MWh</w:t>
            </w:r>
          </w:p>
        </w:tc>
      </w:tr>
      <w:tr>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Strength #2</w:t>
            </w:r>
          </w:p>
        </w:tc>
        <w:tc>
          <w:tcPr>
            <w:tcW w:type="dxa" w:w="3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Highest Revenue score (24/25) — 4hr optimal for CPS</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Largest project in study: 100 MW / 400 MWh (4hr)</w:t>
            </w:r>
          </w:p>
        </w:tc>
      </w:tr>
      <w:tr>
        <w:tc>
          <w:tcPr>
            <w:tcW w:type="dxa" w:w="1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Strength #5</w:t>
            </w:r>
          </w:p>
        </w:tc>
        <w:tc>
          <w:tcPr>
            <w:tcW w:type="dxa" w:w="3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Lowest capital requirement ($20M net CAPEX at 50% ITC)</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Only site with positive NPV (+$5.4M at $130/kW-yr, 8.84% IRR)</w:t>
            </w:r>
          </w:p>
        </w:tc>
      </w:tr>
      <w:tr>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Strength #4</w:t>
            </w:r>
          </w:p>
        </w:tc>
        <w:tc>
          <w:tcPr>
            <w:tcW w:type="dxa" w:w="3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 MW capacity — qualifies for EFSB path &amp; 83E long-duration</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Lowest CAPEX: $25.1M gross / $15.1M net at 40% ITC — lowest entry barrier</w:t>
            </w:r>
          </w:p>
        </w:tc>
      </w:tr>
      <w:tr>
        <w:tc>
          <w:tcPr>
            <w:tcW w:type="dxa" w:w="1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Strength #5</w:t>
            </w:r>
          </w:p>
        </w:tc>
        <w:tc>
          <w:tcPr>
            <w:tcW w:type="dxa" w:w="3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Largest brownfield footprint → up to 70% ITC (all bonus tiers)</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40% ITC (PWA + domestic content) — feeder-scale $2M interconnection de-risks entry</w:t>
            </w:r>
          </w:p>
        </w:tc>
      </w:tr>
      <w:tr>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Constraints</w:t>
            </w:r>
          </w:p>
        </w:tc>
        <w:tc>
          <w:tcPr>
            <w:tcW w:type="dxa" w:w="3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Small parcel → 30 MW physical cap · Special Permit + ZBA variance · Sub-100 MWh threshold → local permitting · Limited 83E scale</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$12M interconnection — primary gating risk · Merchant IRR 8.84% needs contracted revenue for 12–15% equity · Battery $112M = 78% of total CAPEX</w:t>
            </w:r>
          </w:p>
        </w:tc>
      </w:tr>
      <w:tr>
        <w:tc>
          <w:tcPr>
            <w:tcW w:type="dxa" w:w="1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Constraints</w:t>
            </w:r>
          </w:p>
        </w:tc>
        <w:tc>
          <w:tcPr>
            <w:tcW w:type="dxa" w:w="3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Larger capital ($134M+ net) · Brownfield due diligence · EFSB complexity · Larger community engagement</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NEGATIVE NPV (−$2.2M) at $130/kW-yr merchant revenue · IRR ~5.9% — requires &gt;$150/kW-yr for viability · Feeder-scale (60 MWh) — local permit path only</w:t>
            </w:r>
          </w:p>
        </w:tc>
      </w:tr>
      <w:tr>
        <w:tc>
          <w:tcPr>
            <w:tcW w:type="dxa" w:w="1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Bottom insight bar</w:t>
            </w:r>
          </w:p>
        </w:tc>
        <w:tc>
          <w:tcPr>
            <w:tcW w:type="dxa" w:w="3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'The same five-layer framework applies to any county...'</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Added: 'A high composite score does not automatically equal investable economics. Chelsea (113) is the stronger near-term investment. Everett (119) is the highest-quality site requiring contracted revenue to unlock viability.'</w:t>
            </w:r>
          </w:p>
        </w:tc>
      </w:tr>
    </w:tbl>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side-by-side comparison is where most audience members form their investment view. In v3, every capacity and CAPEX figure was wrong, the relative positions were inverted (Chelsea appeared smaller and less capital-intensive than Everett), and the bottom insight bar did not distinguish between site quality and investment viability. All corrections flow directly from the financial model data.</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12.  Slide 12 — Everett Site Profile (231 Beacham Street)</w:t>
      </w:r>
    </w:p>
    <w:p>
      <w:pPr>
        <w:spacing w:after="60" w:before="180"/>
      </w:pPr>
      <w:r>
        <w:rPr>
          <w:rFonts w:ascii="Calibri" w:cs="Calibri" w:eastAsia="Calibri" w:hAnsi="Calibri"/>
          <w:b/>
          <w:bCs/>
          <w:i w:val="false"/>
          <w:iCs w:val="false"/>
          <w:color w:val="000000"/>
          <w:sz w:val="22"/>
          <w:szCs w:val="22"/>
          <w:u w:val="single"/>
        </w:rPr>
        <w:t xml:space="preserve">What changed</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header band now includes the confirmed capacity: '15 MW / 60 MWh'. The entire right panel was rebuilt. Previous version showed estimated values; new version shows model-confirmed values:</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2000"/>
        <w:gridCol w:w="2600"/>
        <w:gridCol w:w="4472"/>
      </w:tblGrid>
      <w:tr>
        <w:trPr>
          <w:tblHeader/>
        </w:trPr>
        <w:tc>
          <w:tcPr>
            <w:tcW w:type="dxa" w:w="20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Metric</w:t>
            </w:r>
          </w:p>
        </w:tc>
        <w:tc>
          <w:tcPr>
            <w:tcW w:type="dxa" w:w="26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Previous (v3)</w:t>
            </w:r>
          </w:p>
        </w:tc>
        <w:tc>
          <w:tcPr>
            <w:tcW w:type="dxa" w:w="447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Updated (v4) — Model Source</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Capacity</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 MW</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 MW (Financial model Assumptions sheet: Project Power = 15 MW)</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Energy Storage</w:t>
            </w:r>
          </w:p>
        </w:tc>
        <w:tc>
          <w:tcPr>
            <w:tcW w:type="dxa" w:w="2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800 MWh (8hr assumed)</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60 MWh (Financial model: Energy Capacity = 60 MWh, Duration = 4hr)</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Gross CAPEX</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 directly</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$25,130,000 (CAPEX sheet: Total Gross CAPEX)</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Net CAPEX</w:t>
            </w:r>
          </w:p>
        </w:tc>
        <w:tc>
          <w:tcPr>
            <w:tcW w:type="dxa" w:w="2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 directly</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$15,078,000 (CAPEX sheet: Net CAPEX = Gross CAPEX − ITC Value)</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NPV</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$56M (50% ITC estimate)</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−$2,198,134 (Financials sheet: NPV)</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IRR</w:t>
            </w:r>
          </w:p>
        </w:tc>
        <w:tc>
          <w:tcPr>
            <w:tcW w:type="dxa" w:w="2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 (50% ITC estimate)</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5.93% (Financials sheet: IRR = 0.0593)</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Payback</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10.4 years (Financials sheet: Simple Payback)</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Investment verdict</w:t>
            </w:r>
          </w:p>
        </w:tc>
        <w:tc>
          <w:tcPr>
            <w:tcW w:type="dxa" w:w="2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STANDALONE INVESTABLE — added as verdict box</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Duration</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8hr (my assumption)</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4hr (Financial model Assumptions: Duration = 4 hours)</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Battery cost</w:t>
            </w:r>
          </w:p>
        </w:tc>
        <w:tc>
          <w:tcPr>
            <w:tcW w:type="dxa" w:w="2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$334/kWh (NREL)</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$300/kWh (Financial model Assumptions: Battery Cost = 300)</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O&amp;M</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 (Financial model Assumptions: O&amp;M % of Gross CAPEX = 0.02)</w:t>
            </w:r>
          </w:p>
        </w:tc>
      </w:tr>
    </w:tbl>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previous Everett slide was built entirely from my estimates. The 200 MW figure was 13 times the actual modeled capacity. The 8hr duration was my optimization assumption; the model uses 4hr. The $56M NPV was contingent on a 50% ITC scenario the model does not use as its base case. All previous metrics are replaced with values drawn cell-by-cell from the financial model spreadsheet.</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13.  Slide 13 — Chelsea Site Profile (283 Eastern Avenue)</w:t>
      </w:r>
    </w:p>
    <w:p>
      <w:pPr>
        <w:spacing w:after="60" w:before="180"/>
      </w:pPr>
      <w:r>
        <w:rPr>
          <w:rFonts w:ascii="Calibri" w:cs="Calibri" w:eastAsia="Calibri" w:hAnsi="Calibri"/>
          <w:b/>
          <w:bCs/>
          <w:i w:val="false"/>
          <w:iCs w:val="false"/>
          <w:color w:val="000000"/>
          <w:sz w:val="22"/>
          <w:szCs w:val="22"/>
          <w:u w:val="single"/>
        </w:rPr>
        <w:t xml:space="preserve">What changed</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header band now includes '100 MW / 400 MWh'. The entire right panel was rebuilt:</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2000"/>
        <w:gridCol w:w="2600"/>
        <w:gridCol w:w="4472"/>
      </w:tblGrid>
      <w:tr>
        <w:trPr>
          <w:tblHeader/>
        </w:trPr>
        <w:tc>
          <w:tcPr>
            <w:tcW w:type="dxa" w:w="20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Metric</w:t>
            </w:r>
          </w:p>
        </w:tc>
        <w:tc>
          <w:tcPr>
            <w:tcW w:type="dxa" w:w="26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Previous (v3)</w:t>
            </w:r>
          </w:p>
        </w:tc>
        <w:tc>
          <w:tcPr>
            <w:tcW w:type="dxa" w:w="447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Updated (v4) — Model Source</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Capacity</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 MW</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100 MW (Financial model Assumptions: Project Power = 100 MW)</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Energy Storage</w:t>
            </w:r>
          </w:p>
        </w:tc>
        <w:tc>
          <w:tcPr>
            <w:tcW w:type="dxa" w:w="2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120 MWh (4hr)</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400 MWh (Financial model: Energy Capacity = 400 MWh, Duration = 4hr)</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Gross CAPEX</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 directly</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$144,000,000 (CAPEX sheet: Total Gross CAPEX)</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Net CAPEX</w:t>
            </w:r>
          </w:p>
        </w:tc>
        <w:tc>
          <w:tcPr>
            <w:tcW w:type="dxa" w:w="2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 directly</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$86,400,000 (CAPEX sheet: Net CAPEX)</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NPV</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$8.5M (30% ITC estimate)</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 $5,365,186 (Financials sheet: NPV)</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IRR</w:t>
            </w:r>
          </w:p>
        </w:tc>
        <w:tc>
          <w:tcPr>
            <w:tcW w:type="dxa" w:w="2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 (50% ITC estimate)</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8.84% (Financials sheet: IRR = 0.0884)</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Payback</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8.5 years (Financials sheet: Simple Payback)</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Investment verdict</w:t>
            </w:r>
          </w:p>
        </w:tc>
        <w:tc>
          <w:tcPr>
            <w:tcW w:type="dxa" w:w="2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CONDITIONALLY VIABLE — leverage unlocks 12–15% equity IRR — added as verdict box</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Battery cost</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$334/kWh (NREL)</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$280/kWh (Financial model Assumptions: Battery Cost = 280)</w:t>
            </w:r>
          </w:p>
        </w:tc>
      </w:tr>
      <w:tr>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Interconnection</w:t>
            </w:r>
          </w:p>
        </w:tc>
        <w:tc>
          <w:tcPr>
            <w:tcW w:type="dxa" w:w="26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$500K estimate</w:t>
            </w:r>
          </w:p>
        </w:tc>
        <w:tc>
          <w:tcPr>
            <w:tcW w:type="dxa" w:w="44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$12,000,000 (Financial model Assumptions: Interconnection Cost = 12000000)</w:t>
            </w:r>
          </w:p>
        </w:tc>
      </w:tr>
      <w:tr>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O&amp;M</w:t>
            </w:r>
          </w:p>
        </w:tc>
        <w:tc>
          <w:tcPr>
            <w:tcW w:type="dxa" w:w="26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w:t>
            </w:r>
          </w:p>
        </w:tc>
        <w:tc>
          <w:tcPr>
            <w:tcW w:type="dxa" w:w="44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 (Financial model: O&amp;M % of Gross CAPEX = 0.02)</w:t>
            </w:r>
          </w:p>
        </w:tc>
      </w:tr>
    </w:tbl>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previous Chelsea slide showed 30 MW — 3.3 times smaller than the actual model. The $8.5M NPV I had shown was under a 30% ITC scenario; the model produces $5.4M at 40% ITC (lower ITC than my estimate, but larger project scale). The NPV and IRR are now correct, and the investment verdict box makes the conditional nature of viability explicit — Chelsea requires contracted revenue and leverage to reach institutional return thresholds.</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14.  Slide 14 — Financial Comparison (Complete Rebuild)</w:t>
      </w:r>
    </w:p>
    <w:p>
      <w:pPr>
        <w:spacing w:after="60" w:before="180"/>
      </w:pPr>
      <w:r>
        <w:rPr>
          <w:rFonts w:ascii="Calibri" w:cs="Calibri" w:eastAsia="Calibri" w:hAnsi="Calibri"/>
          <w:b/>
          <w:bCs/>
          <w:i w:val="false"/>
          <w:iCs w:val="false"/>
          <w:color w:val="000000"/>
          <w:sz w:val="22"/>
          <w:szCs w:val="22"/>
          <w:u w:val="single"/>
        </w:rPr>
        <w:t xml:space="preserve">What changed</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entire slide was rebuilt. Previous version showed estimated figures for a 200 MW Everett and a 30 MW Chelsea project. New version is a complete CAPEX build-up drawn line by line from the financial model CAPEX and Financials sheets:</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2400"/>
        <w:gridCol w:w="1960"/>
        <w:gridCol w:w="1960"/>
        <w:gridCol w:w="2752"/>
      </w:tblGrid>
      <w:tr>
        <w:trPr>
          <w:tblHeader/>
        </w:trPr>
        <w:tc>
          <w:tcPr>
            <w:tcW w:type="dxa" w:w="24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Line Item</w:t>
            </w:r>
          </w:p>
        </w:tc>
        <w:tc>
          <w:tcPr>
            <w:tcW w:type="dxa" w:w="196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Everett — Model Value</w:t>
            </w:r>
          </w:p>
        </w:tc>
        <w:tc>
          <w:tcPr>
            <w:tcW w:type="dxa" w:w="196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Chelsea — Model Value</w:t>
            </w:r>
          </w:p>
        </w:tc>
        <w:tc>
          <w:tcPr>
            <w:tcW w:type="dxa" w:w="275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Source</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Battery Cost ($/kWh)</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$300/kWh</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$280/kWh</w:t>
            </w:r>
          </w:p>
        </w:tc>
        <w:tc>
          <w:tcPr>
            <w:tcW w:type="dxa" w:w="275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 Battery Cost</w:t>
            </w:r>
          </w:p>
        </w:tc>
      </w:tr>
      <w:tr>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Battery System CAPEX</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$18,000,000</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$112,000,000</w:t>
            </w:r>
          </w:p>
        </w:tc>
        <w:tc>
          <w:tcPr>
            <w:tcW w:type="dxa" w:w="275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 Battery System</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Interconnection Cost</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$2,000,000</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$12,000,000</w:t>
            </w:r>
          </w:p>
        </w:tc>
        <w:tc>
          <w:tcPr>
            <w:tcW w:type="dxa" w:w="275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 Interconnection</w:t>
            </w:r>
          </w:p>
        </w:tc>
      </w:tr>
      <w:tr>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Land Cost</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$1,630,000</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$5,000,000</w:t>
            </w:r>
          </w:p>
        </w:tc>
        <w:tc>
          <w:tcPr>
            <w:tcW w:type="dxa" w:w="275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 Land</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EPC / Balance of Plant</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$2,500,000</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$12,000,000</w:t>
            </w:r>
          </w:p>
        </w:tc>
        <w:tc>
          <w:tcPr>
            <w:tcW w:type="dxa" w:w="275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 EPC / BOP</w:t>
            </w:r>
          </w:p>
        </w:tc>
      </w:tr>
      <w:tr>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Development Cost</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$1,000,000</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$3,000,000</w:t>
            </w:r>
          </w:p>
        </w:tc>
        <w:tc>
          <w:tcPr>
            <w:tcW w:type="dxa" w:w="275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 Development</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TOTAL GROSS CAPEX</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$25,130,000</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$144,000,000</w:t>
            </w:r>
          </w:p>
        </w:tc>
        <w:tc>
          <w:tcPr>
            <w:tcW w:type="dxa" w:w="275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 Total Gross CAPEX</w:t>
            </w:r>
          </w:p>
        </w:tc>
      </w:tr>
      <w:tr>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ITC Value (40%)</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($10,052,000)</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($57,600,000)</w:t>
            </w:r>
          </w:p>
        </w:tc>
        <w:tc>
          <w:tcPr>
            <w:tcW w:type="dxa" w:w="275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 ITC Value</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NET CAPEX AFTER ITC</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$15,078,000</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$86,400,000</w:t>
            </w:r>
          </w:p>
        </w:tc>
        <w:tc>
          <w:tcPr>
            <w:tcW w:type="dxa" w:w="275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 Net CAPEX</w:t>
            </w:r>
          </w:p>
        </w:tc>
      </w:tr>
      <w:tr>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Revenue ($/kW-year)</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$130/kW-yr</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$130/kW-yr</w:t>
            </w:r>
          </w:p>
        </w:tc>
        <w:tc>
          <w:tcPr>
            <w:tcW w:type="dxa" w:w="275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 Revenue per kW-year</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Year 1 Gross Revenue</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$1,950,000</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$13,000,000</w:t>
            </w:r>
          </w:p>
        </w:tc>
        <w:tc>
          <w:tcPr>
            <w:tcW w:type="dxa" w:w="275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Revenue sheet: Annual Gross Revenue (Year 1)</w:t>
            </w:r>
          </w:p>
        </w:tc>
      </w:tr>
      <w:tr>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Year 1 O&amp;M (2.0%)</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$502,600</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$2,880,000</w:t>
            </w:r>
          </w:p>
        </w:tc>
        <w:tc>
          <w:tcPr>
            <w:tcW w:type="dxa" w:w="275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OPEX sheet: Annual O&amp;M (Year 1)</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Year 1 EBITDA</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$1,447,400</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$10,120,000</w:t>
            </w:r>
          </w:p>
        </w:tc>
        <w:tc>
          <w:tcPr>
            <w:tcW w:type="dxa" w:w="275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 Year 1 Net Cash Flow</w:t>
            </w:r>
          </w:p>
        </w:tc>
      </w:tr>
      <w:tr>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Augmentation CAPEX (Year 10)</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$2,700,000</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$16,800,000</w:t>
            </w:r>
          </w:p>
        </w:tc>
        <w:tc>
          <w:tcPr>
            <w:tcW w:type="dxa" w:w="275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 Augmentation Cost</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NPV @ 8% WACC</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−$2,198,134</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 $5,365,186</w:t>
            </w:r>
          </w:p>
        </w:tc>
        <w:tc>
          <w:tcPr>
            <w:tcW w:type="dxa" w:w="275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 NPV</w:t>
            </w:r>
          </w:p>
        </w:tc>
      </w:tr>
      <w:tr>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Unlevered IRR</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5.93%</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8.84%</w:t>
            </w:r>
          </w:p>
        </w:tc>
        <w:tc>
          <w:tcPr>
            <w:tcW w:type="dxa" w:w="275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 IRR</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Simple Payback</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10.4 years</w:t>
            </w:r>
          </w:p>
        </w:tc>
        <w:tc>
          <w:tcPr>
            <w:tcW w:type="dxa" w:w="196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8.5 years</w:t>
            </w:r>
          </w:p>
        </w:tc>
        <w:tc>
          <w:tcPr>
            <w:tcW w:type="dxa" w:w="275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 Simple Payback (yrs)</w:t>
            </w:r>
          </w:p>
        </w:tc>
      </w:tr>
      <w:tr>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Investment Verdict</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INVESTABLE (merchant basis)</w:t>
            </w:r>
          </w:p>
        </w:tc>
        <w:tc>
          <w:tcPr>
            <w:tcW w:type="dxa" w:w="196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CONDITIONALLY VIABLE</w:t>
            </w:r>
          </w:p>
        </w:tc>
        <w:tc>
          <w:tcPr>
            <w:tcW w:type="dxa" w:w="275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 Commentary sheets</w:t>
            </w:r>
          </w:p>
        </w:tc>
      </w:tr>
    </w:tbl>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spacing w:after="100" w:before="40" w:line="300" w:lineRule="auto"/>
        <w:jc w:val="left"/>
      </w:pPr>
      <w:r>
        <w:rPr>
          <w:rFonts w:ascii="Calibri" w:cs="Calibri" w:eastAsia="Calibri" w:hAnsi="Calibri"/>
          <w:b w:val="false"/>
          <w:bCs w:val="false"/>
          <w:i w:val="false"/>
          <w:iCs w:val="false"/>
          <w:color w:val="000000"/>
          <w:sz w:val="21"/>
          <w:szCs w:val="21"/>
        </w:rPr>
        <w:t xml:space="preserve">A sensitivity callout was also added at the bottom of the slide, drawn from the Sensitivity sheet of each model:</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2400"/>
        <w:gridCol w:w="3100"/>
        <w:gridCol w:w="3572"/>
      </w:tblGrid>
      <w:tr>
        <w:trPr>
          <w:tblHeader/>
        </w:trPr>
        <w:tc>
          <w:tcPr>
            <w:tcW w:type="dxa" w:w="24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Sensitivity Finding</w:t>
            </w:r>
          </w:p>
        </w:tc>
        <w:tc>
          <w:tcPr>
            <w:tcW w:type="dxa" w:w="31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Everett</w:t>
            </w:r>
          </w:p>
        </w:tc>
        <w:tc>
          <w:tcPr>
            <w:tcW w:type="dxa" w:w="357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Chelsea</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Revenue threshold for positive NPV</w:t>
            </w:r>
          </w:p>
        </w:tc>
        <w:tc>
          <w:tcPr>
            <w:tcW w:type="dxa" w:w="31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&gt;$150/kW-yr at $300/kWh battery; IRR at $150/kW-yr = 13.78%</w:t>
            </w:r>
          </w:p>
        </w:tc>
        <w:tc>
          <w:tcPr>
            <w:tcW w:type="dxa" w:w="3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At $130/kW-yr NPV is already +$5.4M; at $150/kW-yr IRR rises further</w:t>
            </w:r>
          </w:p>
        </w:tc>
      </w:tr>
      <w:tr>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ITC sensitivity (NPV at 8%)</w:t>
            </w:r>
          </w:p>
        </w:tc>
        <w:tc>
          <w:tcPr>
            <w:tcW w:type="dxa" w:w="31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At $2M IC + 40% ITC: −$70,920. At $2M IC + 50% ITC: +$2,342,080</w:t>
            </w:r>
          </w:p>
        </w:tc>
        <w:tc>
          <w:tcPr>
            <w:tcW w:type="dxa" w:w="3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At $4M IC + 40% ITC: +$19,330,068. At $4M IC + 50% ITC: +$32,930,068</w:t>
            </w:r>
          </w:p>
        </w:tc>
      </w:tr>
      <w:tr>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Interconnection sensitivity</w:t>
            </w:r>
          </w:p>
        </w:tc>
        <w:tc>
          <w:tcPr>
            <w:tcW w:type="dxa" w:w="31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Each +$1M in IC reduces NPV by ~$600K (at 40% ITC, net impact)</w:t>
            </w:r>
          </w:p>
        </w:tc>
        <w:tc>
          <w:tcPr>
            <w:tcW w:type="dxa" w:w="3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Each +$1M in IC reduces NPV by ~$1,700K (model NPV table: $19.3M at $4M IC vs. $5.4M at $12M IC)</w:t>
            </w:r>
          </w:p>
        </w:tc>
      </w:tr>
    </w:tbl>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previous financial comparison contained no figures drawn from the uploaded models. Every number was either NREL-benchmark-derived (the $334/kWh cost, the $267M and $40M CAPEXes) or produced by my own IRR calculations (the ~13% and ~22% IRR figures). The rebuild sources every cell directly from the model spreadsheets with the specific sheet reference noted. No external calculations were applied.</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15.  Slide 15 — Economic Impact</w:t>
      </w:r>
    </w:p>
    <w:p>
      <w:pPr>
        <w:spacing w:after="60" w:before="180"/>
      </w:pPr>
      <w:r>
        <w:rPr>
          <w:rFonts w:ascii="Calibri" w:cs="Calibri" w:eastAsia="Calibri" w:hAnsi="Calibri"/>
          <w:b/>
          <w:bCs/>
          <w:i w:val="false"/>
          <w:iCs w:val="false"/>
          <w:color w:val="000000"/>
          <w:sz w:val="22"/>
          <w:szCs w:val="22"/>
          <w:u w:val="single"/>
        </w:rPr>
        <w:t xml:space="preserve">What changed — all five top stat boxes</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1400"/>
        <w:gridCol w:w="2400"/>
        <w:gridCol w:w="2400"/>
        <w:gridCol w:w="2872"/>
      </w:tblGrid>
      <w:tr>
        <w:trPr>
          <w:tblHeader/>
        </w:trPr>
        <w:tc>
          <w:tcPr>
            <w:tcW w:type="dxa" w:w="14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Stat Box</w:t>
            </w:r>
          </w:p>
        </w:tc>
        <w:tc>
          <w:tcPr>
            <w:tcW w:type="dxa" w:w="24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Previous (v3)</w:t>
            </w:r>
          </w:p>
        </w:tc>
        <w:tc>
          <w:tcPr>
            <w:tcW w:type="dxa" w:w="24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Updated (v4)</w:t>
            </w:r>
          </w:p>
        </w:tc>
        <w:tc>
          <w:tcPr>
            <w:tcW w:type="dxa" w:w="287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Source</w:t>
            </w:r>
          </w:p>
        </w:tc>
      </w:tr>
      <w:tr>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Stat 1</w:t>
            </w:r>
          </w:p>
        </w:tc>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$307M Combined Gross CAPEX</w:t>
            </w:r>
          </w:p>
        </w:tc>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$169M Combined Gross CAPEX</w:t>
            </w:r>
          </w:p>
        </w:tc>
        <w:tc>
          <w:tcPr>
            <w:tcW w:type="dxa" w:w="28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$25.13M + $144M = $169.13M (both CAPEX sheets)</w:t>
            </w:r>
          </w:p>
        </w:tc>
      </w:tr>
      <w:tr>
        <w:tc>
          <w:tcPr>
            <w:tcW w:type="dxa" w:w="1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Stat 2</w:t>
            </w:r>
          </w:p>
        </w:tc>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$154M Net CAPEX at 50% ITC</w:t>
            </w:r>
          </w:p>
        </w:tc>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$101.5M Net CAPEX at 40% ITC</w:t>
            </w:r>
          </w:p>
        </w:tc>
        <w:tc>
          <w:tcPr>
            <w:tcW w:type="dxa" w:w="28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$15.08M + $86.40M = $101.48M (both CAPEX sheets)</w:t>
            </w:r>
          </w:p>
        </w:tc>
      </w:tr>
      <w:tr>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Stat 3</w:t>
            </w:r>
          </w:p>
        </w:tc>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230 MW Combined Capacity</w:t>
            </w:r>
          </w:p>
        </w:tc>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115 MW Combined Capacity</w:t>
            </w:r>
          </w:p>
        </w:tc>
        <w:tc>
          <w:tcPr>
            <w:tcW w:type="dxa" w:w="28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 MW + 100 MW (both Assumptions sheets)</w:t>
            </w:r>
          </w:p>
        </w:tc>
      </w:tr>
      <w:tr>
        <w:tc>
          <w:tcPr>
            <w:tcW w:type="dxa" w:w="1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Stat 4</w:t>
            </w:r>
          </w:p>
        </w:tc>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$29.9M/yr Combined EBITDA</w:t>
            </w:r>
          </w:p>
        </w:tc>
        <w:tc>
          <w:tcPr>
            <w:tcW w:type="dxa" w:w="24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$11.6M/yr Combined Year 1 EBITDA</w:t>
            </w:r>
          </w:p>
        </w:tc>
        <w:tc>
          <w:tcPr>
            <w:tcW w:type="dxa" w:w="28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$1.447M + $10.120M = $11.567M (both Financials sheets)</w:t>
            </w:r>
          </w:p>
        </w:tc>
      </w:tr>
      <w:tr>
        <w:tc>
          <w:tcPr>
            <w:tcW w:type="dxa" w:w="1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Stat 5</w:t>
            </w:r>
          </w:p>
        </w:tc>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~13–22% IRR Range</w:t>
            </w:r>
          </w:p>
        </w:tc>
        <w:tc>
          <w:tcPr>
            <w:tcW w:type="dxa" w:w="24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5.9–8.8% Unlevered IRR Range</w:t>
            </w:r>
          </w:p>
        </w:tc>
        <w:tc>
          <w:tcPr>
            <w:tcW w:type="dxa" w:w="28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5.93% and 8.84% (both Financials sheets)</w:t>
            </w:r>
          </w:p>
        </w:tc>
      </w:tr>
    </w:tbl>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spacing w:after="60" w:before="180"/>
      </w:pPr>
      <w:r>
        <w:rPr>
          <w:rFonts w:ascii="Calibri" w:cs="Calibri" w:eastAsia="Calibri" w:hAnsi="Calibri"/>
          <w:b/>
          <w:bCs/>
          <w:i w:val="false"/>
          <w:iCs w:val="false"/>
          <w:color w:val="000000"/>
          <w:sz w:val="22"/>
          <w:szCs w:val="22"/>
          <w:u w:val="single"/>
        </w:rPr>
        <w:t xml:space="preserve">What changed — four narrative cards</w:t>
      </w:r>
    </w:p>
    <w:p>
      <w:pPr>
        <w:spacing w:after="0" w:before="30" w:line="288" w:lineRule="auto"/>
        <w:jc w:val="left"/>
      </w:pPr>
      <w:r>
        <w:rPr>
          <w:rFonts w:ascii="Calibri" w:cs="Calibri" w:eastAsia="Calibri" w:hAnsi="Calibri"/>
          <w:b w:val="false"/>
          <w:bCs w:val="false"/>
          <w:i w:val="false"/>
          <w:iCs w:val="false"/>
          <w:color w:val="000000"/>
          <w:sz w:val="2"/>
          <w:szCs w:val="2"/>
        </w:rPr>
        <w:t xml:space="preserve"/>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Card 1 (ITC): Removed 60–70% language. Now accurately describes 40% base with domestic content execution risk noted. Added specific NPV impact of 50% ITC scenario: Chelsea +$19.3M, Everett +$2.3M.</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Card 2 (Grid Reliability): Updated to reflect model-confirmed interconnection differentials ($2M vs. $12M) as the primary finding rather than general grid reliability language.</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Card 3 (Revenue Certainty): Added explicit statement drawn from model commentary — 'Neither site is investable on a purely merchant basis at $130/kW-yr.' This is a direct conclusion from both models' commentary sections, not an editorial addition.</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Card 4 (Investment Narrative): Updated to reflect the corrected relative positions — 'Chelsea (113) is the more viable near-term investment at $144M gross CAPEX; Everett (119) is the highest-quality site requiring contracted revenue to unlock positive returns.'</w:t>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five stat boxes on slide 15 are the headline economic figures for the entire project. Every one of them was derived from my estimates rather than the financial models. The combined CAPEX of $307M and combined EBITDA of $29.9M/yr were calculated using my incorrect capacity assumptions (200 MW + 30 MW). The 13–22% IRR range was approximately double the actual model output. These are the numbers most likely to be quoted by a senior audience and the most consequential to correct.</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16.  Slide 16 — Tool Advantage &amp; Scalability</w:t>
      </w:r>
    </w:p>
    <w:p>
      <w:pPr>
        <w:spacing w:after="60" w:before="180"/>
      </w:pPr>
      <w:r>
        <w:rPr>
          <w:rFonts w:ascii="Calibri" w:cs="Calibri" w:eastAsia="Calibri" w:hAnsi="Calibri"/>
          <w:b/>
          <w:bCs/>
          <w:i w:val="false"/>
          <w:iCs w:val="false"/>
          <w:color w:val="000000"/>
          <w:sz w:val="22"/>
          <w:szCs w:val="22"/>
          <w:u w:val="single"/>
        </w:rPr>
        <w:t xml:space="preserve">What changed</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Subtitle: 'validated on 231 Beacham St and 283 Eastern Ave' → added 'by financial models.'</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Revenue comparison row: 'ITC stacking (up to 70%)' → 'ITC (40% base, 50% upside scenario).'</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Scalability footnote: added sentence — 'The financial model structure (interconnection-constrained MW sizing, 40% ITC base, $130/kW-yr revenue floor) applies directly to any county expansion.'</w:t>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This slide generalizes the tool's approach to other Massachusetts counties. The addition of the financial model's structural parameters to the generalization statement makes the statewide expansion argument more rigorous. A MassDOER analyst or developer considering Worcester County or Bristol County needs to know that the same modeling logic applies — not just the MCE scoring.</w:t>
      </w:r>
    </w:p>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17.  Slide 17 — Conclusion</w:t>
      </w:r>
    </w:p>
    <w:p>
      <w:pPr>
        <w:spacing w:after="60" w:before="180"/>
      </w:pPr>
      <w:r>
        <w:rPr>
          <w:rFonts w:ascii="Calibri" w:cs="Calibri" w:eastAsia="Calibri" w:hAnsi="Calibri"/>
          <w:b/>
          <w:bCs/>
          <w:i w:val="false"/>
          <w:iCs w:val="false"/>
          <w:color w:val="000000"/>
          <w:sz w:val="22"/>
          <w:szCs w:val="22"/>
          <w:u w:val="single"/>
        </w:rPr>
        <w:t xml:space="preserve">What changed — Scale &amp; Financial Findings column (complete rebuild)</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800"/>
        <w:gridCol w:w="3200"/>
        <w:gridCol w:w="5072"/>
      </w:tblGrid>
      <w:tr>
        <w:trPr>
          <w:tblHeader/>
        </w:trPr>
        <w:tc>
          <w:tcPr>
            <w:tcW w:type="dxa" w:w="8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Bullet</w:t>
            </w:r>
          </w:p>
        </w:tc>
        <w:tc>
          <w:tcPr>
            <w:tcW w:type="dxa" w:w="32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Previous (v3)</w:t>
            </w:r>
          </w:p>
        </w:tc>
        <w:tc>
          <w:tcPr>
            <w:tcW w:type="dxa" w:w="507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Updated (v4)</w:t>
            </w:r>
          </w:p>
        </w:tc>
      </w:tr>
      <w:tr>
        <w:tc>
          <w:tcPr>
            <w:tcW w:type="dxa" w:w="8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Bullet 1</w:t>
            </w:r>
          </w:p>
        </w:tc>
        <w:tc>
          <w:tcPr>
            <w:tcW w:type="dxa" w:w="3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231 Beacham, Everett: 200 MW / 800 MWh (8hr) — optimal for FCM capacity payments and 83E long-duration</w:t>
            </w:r>
          </w:p>
        </w:tc>
        <w:tc>
          <w:tcPr>
            <w:tcW w:type="dxa" w:w="50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15 MW / 60 MWh (4hr) · Gross CAPEX $25.1M · Net $15.1M · IRR 5.93% · NPV −$2.2M at $130/kW-yr. Becomes viable above $150/kW-yr or at 50% ITC.</w:t>
            </w:r>
          </w:p>
        </w:tc>
      </w:tr>
      <w:tr>
        <w:tc>
          <w:tcPr>
            <w:tcW w:type="dxa" w:w="8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Bullet 2</w:t>
            </w:r>
          </w:p>
        </w:tc>
        <w:tc>
          <w:tcPr>
            <w:tcW w:type="dxa" w:w="3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283 Eastern, Chelsea: 30 MW / 120 MWh (4hr) — maximizes CPS multiplier stack</w:t>
            </w:r>
          </w:p>
        </w:tc>
        <w:tc>
          <w:tcPr>
            <w:tcW w:type="dxa" w:w="50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100 MW / 400 MWh (4hr) · Gross CAPEX $144M · Net $86.4M · IRR 8.84% · NPV +$5.4M at $130/kW-yr. Leverage of 50–65% debt pushes equity IRR to 12–15%.</w:t>
            </w:r>
          </w:p>
        </w:tc>
      </w:tr>
      <w:tr>
        <w:tc>
          <w:tcPr>
            <w:tcW w:type="dxa" w:w="8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Bullet 3</w:t>
            </w:r>
          </w:p>
        </w:tc>
        <w:tc>
          <w:tcPr>
            <w:tcW w:type="dxa" w:w="32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IRR equivalent at both sites (~13% unlevered, ~22% levered at ITC 50%)</w:t>
            </w:r>
          </w:p>
        </w:tc>
        <w:tc>
          <w:tcPr>
            <w:tcW w:type="dxa" w:w="50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(score 113) is the stronger near-term investment despite Everett's higher composite score (119). A high MCE score identifies the best-quality sites — financial viability depends on scale, interconnection, and contracted revenue.</w:t>
            </w:r>
          </w:p>
        </w:tc>
      </w:tr>
      <w:tr>
        <w:tc>
          <w:tcPr>
            <w:tcW w:type="dxa" w:w="8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Bullet 4</w:t>
            </w:r>
          </w:p>
        </w:tc>
        <w:tc>
          <w:tcPr>
            <w:tcW w:type="dxa" w:w="32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Section 83E Round 2: develop bids for both sites</w:t>
            </w:r>
          </w:p>
        </w:tc>
        <w:tc>
          <w:tcPr>
            <w:tcW w:type="dxa" w:w="50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Both sites need Section 83E contracted CPEC revenue for investment-grade returns. This is the policy mechanism the MA 2024 Climate Act created — and the tool positions both sites to compete for it.</w:t>
            </w:r>
          </w:p>
        </w:tc>
      </w:tr>
    </w:tbl>
    <w:p>
      <w:pPr>
        <w:spacing w:after="0" w:before="60" w:line="288" w:lineRule="auto"/>
        <w:jc w:val="left"/>
      </w:pPr>
      <w:r>
        <w:rPr>
          <w:rFonts w:ascii="Calibri" w:cs="Calibri" w:eastAsia="Calibri" w:hAnsi="Calibri"/>
          <w:b w:val="false"/>
          <w:bCs w:val="false"/>
          <w:i w:val="false"/>
          <w:iCs w:val="false"/>
          <w:color w:val="000000"/>
          <w:sz w:val="2"/>
          <w:szCs w:val="2"/>
        </w:rPr>
        <w:t xml:space="preserve"/>
      </w:r>
    </w:p>
    <w:p>
      <w:pPr>
        <w:spacing w:after="60" w:before="180"/>
      </w:pPr>
      <w:r>
        <w:rPr>
          <w:rFonts w:ascii="Calibri" w:cs="Calibri" w:eastAsia="Calibri" w:hAnsi="Calibri"/>
          <w:b/>
          <w:bCs/>
          <w:i w:val="false"/>
          <w:iCs w:val="false"/>
          <w:color w:val="000000"/>
          <w:sz w:val="22"/>
          <w:szCs w:val="22"/>
          <w:u w:val="single"/>
        </w:rPr>
        <w:t xml:space="preserve">What changed — Next Steps column</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Interconnection pre-applications: updated to specify correct budget — '$2M budget (Everett feeder study)' and '$12M budget (Chelsea substation study).'</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Section 83E bid preparation: updated to 100 MW / 400 MWh Chelsea, replacing the previous 30 MW figure.</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ITC validation: added specific NPV impact — '50% ITC vs. 40% changes NPV by $2.3M (Everett) and $13.9M (Chelsea).'</w:t>
      </w:r>
    </w:p>
    <w:p>
      <w:pPr>
        <w:spacing w:after="60" w:before="180"/>
      </w:pPr>
      <w:r>
        <w:rPr>
          <w:rFonts w:ascii="Calibri" w:cs="Calibri" w:eastAsia="Calibri" w:hAnsi="Calibri"/>
          <w:b/>
          <w:bCs/>
          <w:i w:val="false"/>
          <w:iCs w:val="false"/>
          <w:color w:val="000000"/>
          <w:sz w:val="22"/>
          <w:szCs w:val="22"/>
          <w:u w:val="single"/>
        </w:rPr>
        <w:t xml:space="preserve">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conclusion is the last thing an audience retains. The v3 conclusion stated ~13% unlevered IRR — approximately double the actual figure — and presented Everett's 200 MW scale as the primary achievement. The corrected conclusion presents the actual returns from the models, states the investment conditions clearly, and correctly identifies Chelsea as the stronger near-term investment case. The revised next steps reflect the correct project scales and the specific pre-application budgets implied by the model's interconnection cost assumptions.</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18.  Complete Summary: All Figures That Changed</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following table lists every specific number, percentage, or descriptive claim that changed between v3 and v4, with the source of the correction.</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tbl>
      <w:tblPr>
        <w:tblW w:type="dxa" w:w="9072"/>
        <w:tblBorders>
          <w:top w:val="single" w:color="888888" w:sz="1" w:space="0"/>
          <w:left w:val="single" w:color="888888" w:sz="1" w:space="0"/>
          <w:bottom w:val="single" w:color="888888" w:sz="1" w:space="0"/>
          <w:right w:val="single" w:color="888888" w:sz="1" w:space="0"/>
          <w:insideH w:val="single" w:color="auto" w:sz="4"/>
          <w:insideV w:val="single" w:color="auto" w:sz="4"/>
        </w:tblBorders>
      </w:tblPr>
      <w:tblGrid>
        <w:gridCol w:w="500"/>
        <w:gridCol w:w="2000"/>
        <w:gridCol w:w="2000"/>
        <w:gridCol w:w="2000"/>
        <w:gridCol w:w="2572"/>
      </w:tblGrid>
      <w:tr>
        <w:trPr>
          <w:tblHeader/>
        </w:trPr>
        <w:tc>
          <w:tcPr>
            <w:tcW w:type="dxa" w:w="5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Slide</w:t>
            </w:r>
          </w:p>
        </w:tc>
        <w:tc>
          <w:tcPr>
            <w:tcW w:type="dxa" w:w="20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Element</w:t>
            </w:r>
          </w:p>
        </w:tc>
        <w:tc>
          <w:tcPr>
            <w:tcW w:type="dxa" w:w="20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v3 Value</w:t>
            </w:r>
          </w:p>
        </w:tc>
        <w:tc>
          <w:tcPr>
            <w:tcW w:type="dxa" w:w="2000"/>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v4 Value</w:t>
            </w:r>
          </w:p>
        </w:tc>
        <w:tc>
          <w:tcPr>
            <w:tcW w:type="dxa" w:w="2572"/>
            <w:tcBorders>
              <w:top w:val="single" w:color="888888" w:sz="1" w:space="0"/>
              <w:left w:val="single" w:color="888888" w:sz="1" w:space="0"/>
              <w:bottom w:val="single" w:color="888888" w:sz="1" w:space="0"/>
              <w:right w:val="single" w:color="888888" w:sz="1" w:space="0"/>
            </w:tcBorders>
            <w:shd w:fill="D0D0D0" w:color="auto" w:val="clear"/>
            <w:tcMar>
              <w:top w:type="dxa" w:w="80"/>
              <w:left w:type="dxa" w:w="120"/>
              <w:bottom w:type="dxa" w:w="80"/>
              <w:right w:type="dxa" w:w="80"/>
            </w:tcMar>
          </w:tcPr>
          <w:p>
            <w:pPr>
              <w:spacing w:after="0" w:before="0" w:line="288" w:lineRule="auto"/>
              <w:jc w:val="left"/>
            </w:pPr>
            <w:r>
              <w:rPr>
                <w:rFonts w:ascii="Calibri" w:cs="Calibri" w:eastAsia="Calibri" w:hAnsi="Calibri"/>
                <w:b/>
                <w:bCs/>
                <w:i w:val="false"/>
                <w:iCs w:val="false"/>
                <w:color w:val="000000"/>
                <w:sz w:val="20"/>
                <w:szCs w:val="20"/>
              </w:rPr>
              <w:t xml:space="preserve">Source of Correction</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Combined CAPEX stat</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$1.3B+</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$169M</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$25.1M + $144M from both CAPEX sheets</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Layer 4 Everett MW</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 MW</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 MW</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 Project Power = 15</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Layer 4 Chelsea MW</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 MW</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100 MW</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 Project Power = 100</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Layer 5 Everett NPV</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Positive estimate</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−$2.2M</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 NPV</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Layer 5 Chelsea NPV</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Modest positive</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+$5.4M</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 NPV</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ITC cap</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Up to 70%</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40% base (50% upside)</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ITC &amp; Domestic Content = 0.40; Commentary: execution risk noted</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interconnection</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Generic $400K–$9.5M/mi range</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$2,000,000</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Interconnection Cost = 2000000</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interconnection</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Generic $400K–$9.5M/mi range</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$12,000,000</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Interconnection Cost = 12000000</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9</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duration</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8hr (my assumption)</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4hr</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Duration = 4</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9</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duration</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4hr</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4hr (confirmed)</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Duration = 4</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9</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battery cost</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$334/kWh (NREL)</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$300/kWh</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Battery Cost = 300</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9</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battery cost</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$334/kWh (NREL)</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$280/kWh</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Battery Cost = 280</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9</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O&amp;M rate</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O&amp;M % of Gross CAPEX = 0.02</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9</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Augmentation</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mentioned</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Year 10: 15% of battery CAPEX</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Augmentation Cost as % = 0.15; Augmentation Year = 10</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11</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capacity</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 MW / 120 MWh</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100 MW / 400 MWh</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11</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capacity</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 MW / 800 MWh</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 MW / 60 MWh</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11</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net CAPEX claim</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$20M net at 50% ITC</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$86.4M net at 40% ITC</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11</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net CAPEX claim</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$134M+ net</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$15.1M net at 40% ITC</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11</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ITC</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Up to 70%</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40%</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ITC = 0.40</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MW (header &amp; panel)</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 MW</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 MW</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MWh</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800 MWh</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60 MWh</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gross CAPEX</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$267M</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$25,130,000</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net CAPEX</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$134–187M</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$15,078,000</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NPV</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$56M</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−$2,198,134</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IRR</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5.93%</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payback</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10.4 years</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MW (header &amp; panel)</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 MW</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100 MW</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MWh</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120 MWh</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400 MWh</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gross CAPEX</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$40M</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$144,000,000</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net CAPEX</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$20–28M</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$86,400,000</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NPV</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$8.5M (30% ITC)</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 $5,365,186 (40% ITC)</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IRR</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~13–14%</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8.84%</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payback</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8.5 years</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interconnection</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$12,000,000</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14</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All CAPEX figures</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NREL-derived estimates</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Model-confirmed build-up (all 5 components)</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CAPEX sheet (both models)</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14</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All IRR/NPV figures</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NREL + my DCF estimates</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 values</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 (both models)</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14</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Sensitivity data</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Not shown</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Revenue vs. battery cost IRR; IC vs. ITC NPV</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Sensitivity sheet (both models)</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Combined gross CAPEX</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$307M</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$169M</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$25.1M + $144M</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Combined net CAPEX</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$154M at 50% ITC</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$101.5M at 40% ITC</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$15.1M + $86.4M</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Combined MW</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230 MW</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115 MW</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 + 100 MW</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Combined Year 1 EBITDA</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$29.9M/yr</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$11.6M/yr</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$1.447M + $10.120M</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IRR range</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~13–22%</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5.9–8.8% unlevered</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Both Financials sheets</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17</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capacity</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200 MW / 800 MWh (8hr)</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15 MW / 60 MWh (4hr)</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17</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capacity</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 MW / 120 MWh</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100 MW / 400 MWh</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w:t>
            </w:r>
          </w:p>
        </w:tc>
      </w:tr>
      <w:tr>
        <w:tc>
          <w:tcPr>
            <w:tcW w:type="dxa" w:w="5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17</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IRR claim</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~13% unlevered, ~22% levered</w:t>
            </w:r>
          </w:p>
        </w:tc>
        <w:tc>
          <w:tcPr>
            <w:tcW w:type="dxa" w:w="2000"/>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Everett 5.93%, Chelsea 8.84% unlevered</w:t>
            </w:r>
          </w:p>
        </w:tc>
        <w:tc>
          <w:tcPr>
            <w:tcW w:type="dxa" w:w="2572"/>
            <w:tcBorders>
              <w:top w:val="single" w:color="BBBBBB" w:sz="1" w:space="0"/>
              <w:left w:val="single" w:color="BBBBBB" w:sz="1" w:space="0"/>
              <w:bottom w:val="single" w:color="BBBBBB" w:sz="1" w:space="0"/>
              <w:right w:val="single" w:color="BBBBBB" w:sz="1" w:space="0"/>
            </w:tcBorders>
            <w:shd w:fill="FFFFFF"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Financials sheets</w:t>
            </w:r>
          </w:p>
        </w:tc>
      </w:tr>
      <w:tr>
        <w:tc>
          <w:tcPr>
            <w:tcW w:type="dxa" w:w="5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17</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Chelsea 83E bid scale</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30 MW</w:t>
            </w:r>
          </w:p>
        </w:tc>
        <w:tc>
          <w:tcPr>
            <w:tcW w:type="dxa" w:w="2000"/>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100 MW / 400 MWh</w:t>
            </w:r>
          </w:p>
        </w:tc>
        <w:tc>
          <w:tcPr>
            <w:tcW w:type="dxa" w:w="2572"/>
            <w:tcBorders>
              <w:top w:val="single" w:color="BBBBBB" w:sz="1" w:space="0"/>
              <w:left w:val="single" w:color="BBBBBB" w:sz="1" w:space="0"/>
              <w:bottom w:val="single" w:color="BBBBBB" w:sz="1" w:space="0"/>
              <w:right w:val="single" w:color="BBBBBB" w:sz="1" w:space="0"/>
            </w:tcBorders>
            <w:shd w:fill="F0F0F0" w:color="auto" w:val="clear"/>
            <w:tcMar>
              <w:top w:type="dxa" w:w="70"/>
              <w:left w:type="dxa" w:w="120"/>
              <w:bottom w:type="dxa" w:w="70"/>
              <w:right w:type="dxa" w:w="80"/>
            </w:tcMar>
          </w:tcPr>
          <w:p>
            <w:pPr>
              <w:spacing w:after="0" w:before="0" w:line="288" w:lineRule="auto"/>
              <w:jc w:val="left"/>
            </w:pPr>
            <w:r>
              <w:rPr>
                <w:rFonts w:ascii="Calibri" w:cs="Calibri" w:eastAsia="Calibri" w:hAnsi="Calibri"/>
                <w:b w:val="false"/>
                <w:bCs w:val="false"/>
                <w:i w:val="false"/>
                <w:iCs w:val="false"/>
                <w:color w:val="000000"/>
                <w:sz w:val="20"/>
                <w:szCs w:val="20"/>
              </w:rPr>
              <w:t xml:space="preserve">Assumptions sheet</w:t>
            </w:r>
          </w:p>
        </w:tc>
      </w:tr>
    </w:tbl>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Style w:val="Heading1"/>
        <w:pBdr>
          <w:bottom w:val="single" w:color="000000" w:sz="6" w:space="2"/>
        </w:pBdr>
        <w:spacing w:after="120" w:before="360"/>
      </w:pPr>
      <w:r>
        <w:rPr>
          <w:rFonts w:ascii="Calibri" w:cs="Calibri" w:eastAsia="Calibri" w:hAnsi="Calibri"/>
          <w:b/>
          <w:bCs/>
          <w:i w:val="false"/>
          <w:iCs w:val="false"/>
          <w:color w:val="000000"/>
          <w:sz w:val="28"/>
          <w:szCs w:val="28"/>
        </w:rPr>
        <w:t xml:space="preserve">19.  What Did Not Change — and Why</w:t>
      </w:r>
    </w:p>
    <w:p>
      <w:pPr>
        <w:spacing w:after="100" w:before="40" w:line="300" w:lineRule="auto"/>
        <w:jc w:val="left"/>
      </w:pPr>
      <w:r>
        <w:rPr>
          <w:rFonts w:ascii="Calibri" w:cs="Calibri" w:eastAsia="Calibri" w:hAnsi="Calibri"/>
          <w:b w:val="false"/>
          <w:bCs w:val="false"/>
          <w:i w:val="false"/>
          <w:iCs w:val="false"/>
          <w:color w:val="000000"/>
          <w:sz w:val="21"/>
          <w:szCs w:val="21"/>
        </w:rPr>
        <w:t xml:space="preserve">The following elements were deliberately preserved because the financial models confirm rather than contradict them:</w:t>
      </w:r>
    </w:p>
    <w:p>
      <w:pPr>
        <w:spacing w:after="0" w:before="40" w:line="288" w:lineRule="auto"/>
        <w:jc w:val="left"/>
      </w:pPr>
      <w:r>
        <w:rPr>
          <w:rFonts w:ascii="Calibri" w:cs="Calibri" w:eastAsia="Calibri" w:hAnsi="Calibri"/>
          <w:b w:val="false"/>
          <w:bCs w:val="false"/>
          <w:i w:val="false"/>
          <w:iCs w:val="false"/>
          <w:color w:val="000000"/>
          <w:sz w:val="2"/>
          <w:szCs w:val="2"/>
        </w:rPr>
        <w:t xml:space="preserve"/>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Composite MCE scores (119/125 Everett, 113/125 Chelsea): Unchanged. The scores are correct outputs of the five-layer tool. The financial models validate that the tool selected the right sites.</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EJ designations and CIA severity (both sites: 100% EJ, CIA Very High): Unchanged. These come from MassGIS OEJE data, not the financial models.</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Energy burden figures (Everett 7.8%, Chelsea 8.1%): Unchanged. MassGIS/DOE LEAD Tool source data.</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Revenue assumption ($130/kW-yr base): Unchanged. Both models use exactly this figure on the Revenue and Assumptions sheets.</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ISO-NE NEMA/SENE zone characterization: Unchanged. ISO-NE market data.</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Zoning classifications (I-1/I-2 industrial, 50 ft setbacks): Unchanged. Both models confirm I-2 (Everett) and I-1/I-2 (Chelsea) in the Commentary sheets.</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DOER Model Bylaw tier framework: Unchanged. Legal source data, not financial model-dependent.</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Substation proximity (0.2 mi Everett, 0.4 mi Chelsea): Unchanged. These spatial relationships are confirmed as credible by the interconnection costs in the models ($2M feeder, $12M substation).</w:t>
      </w:r>
    </w:p>
    <w:p>
      <w:pPr>
        <w:pStyle w:val="ListParagraph"/>
        <w:numPr>
          <w:ilvl w:val="0"/>
          <w:numId w:val="2"/>
        </w:numPr>
        <w:spacing w:after="40" w:before="40" w:line="280" w:lineRule="auto"/>
      </w:pPr>
      <w:r>
        <w:rPr>
          <w:rFonts w:ascii="Calibri" w:cs="Calibri" w:eastAsia="Calibri" w:hAnsi="Calibri"/>
          <w:b w:val="false"/>
          <w:bCs w:val="false"/>
          <w:i w:val="false"/>
          <w:iCs w:val="false"/>
          <w:color w:val="000000"/>
          <w:sz w:val="21"/>
          <w:szCs w:val="21"/>
        </w:rPr>
        <w:t xml:space="preserve">The five-layer MCE framework itself: Unchanged. The models affirm the framework's validity by selecting the same two top-scoring sites.</w:t>
      </w:r>
    </w:p>
    <w:p>
      <w:pPr>
        <w:spacing w:after="0" w:before="80" w:line="288" w:lineRule="auto"/>
        <w:jc w:val="left"/>
      </w:pPr>
      <w:r>
        <w:rPr>
          <w:rFonts w:ascii="Calibri" w:cs="Calibri" w:eastAsia="Calibri" w:hAnsi="Calibri"/>
          <w:b w:val="false"/>
          <w:bCs w:val="false"/>
          <w:i w:val="false"/>
          <w:iCs w:val="false"/>
          <w:color w:val="000000"/>
          <w:sz w:val="2"/>
          <w:szCs w:val="2"/>
        </w:rPr>
        <w:t xml:space="preserve"/>
      </w:r>
    </w:p>
    <w:p>
      <w:pPr>
        <w:pBdr>
          <w:top w:val="single" w:color="AAAAAA" w:sz="2" w:space="1"/>
        </w:pBdr>
        <w:spacing w:after="0" w:before="80" w:line="264" w:lineRule="auto"/>
      </w:pPr>
      <w:r>
        <w:rPr>
          <w:rFonts w:ascii="Calibri" w:cs="Calibri" w:eastAsia="Calibri" w:hAnsi="Calibri"/>
          <w:b w:val="false"/>
          <w:bCs w:val="false"/>
          <w:i/>
          <w:iCs/>
          <w:color w:val="444444"/>
          <w:sz w:val="17"/>
          <w:szCs w:val="17"/>
        </w:rPr>
        <w:t xml:space="preserve">This change log is prepared for internal project review. All 'Updated (v4)' values are drawn directly from </w:t>
      </w:r>
      <w:r>
        <w:rPr>
          <w:rFonts w:ascii="Calibri" w:cs="Calibri" w:eastAsia="Calibri" w:hAnsi="Calibri"/>
          <w:b/>
          <w:bCs/>
          <w:i/>
          <w:iCs/>
          <w:color w:val="444444"/>
          <w:sz w:val="17"/>
          <w:szCs w:val="17"/>
        </w:rPr>
        <w:t xml:space="preserve">BESS_Financial_Model_Final__Everette_.xlsx</w:t>
      </w:r>
      <w:r>
        <w:rPr>
          <w:rFonts w:ascii="Calibri" w:cs="Calibri" w:eastAsia="Calibri" w:hAnsi="Calibri"/>
          <w:b w:val="false"/>
          <w:bCs w:val="false"/>
          <w:i/>
          <w:iCs/>
          <w:color w:val="444444"/>
          <w:sz w:val="17"/>
          <w:szCs w:val="17"/>
        </w:rPr>
        <w:t xml:space="preserve"> and </w:t>
      </w:r>
      <w:r>
        <w:rPr>
          <w:rFonts w:ascii="Calibri" w:cs="Calibri" w:eastAsia="Calibri" w:hAnsi="Calibri"/>
          <w:b/>
          <w:bCs/>
          <w:i/>
          <w:iCs/>
          <w:color w:val="444444"/>
          <w:sz w:val="17"/>
          <w:szCs w:val="17"/>
        </w:rPr>
        <w:t xml:space="preserve">BESS_Financial_Model_Final__Chelsea_.xlsx</w:t>
      </w:r>
      <w:r>
        <w:rPr>
          <w:rFonts w:ascii="Calibri" w:cs="Calibri" w:eastAsia="Calibri" w:hAnsi="Calibri"/>
          <w:b w:val="false"/>
          <w:bCs w:val="false"/>
          <w:i/>
          <w:iCs/>
          <w:color w:val="444444"/>
          <w:sz w:val="17"/>
          <w:szCs w:val="17"/>
        </w:rPr>
        <w:t xml:space="preserve">, uploaded April 2026. Sheet references are noted in each section.</w:t>
      </w:r>
    </w:p>
    <w:sectPr>
      <w:headerReference w:type="default" r:id="rId7"/>
      <w:footerReference w:type="default" r:id="rId8"/>
      <w:pgSz w:w="12240" w:h="15840" w:orient="portrait"/>
      <w:pgMar w:top="1152" w:right="1008"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1"/>
      </w:pBdr>
      <w:spacing w:after="0" w:before="0"/>
    </w:pPr>
    <w:r>
      <w:rPr>
        <w:rFonts w:ascii="Calibri" w:cs="Calibri" w:eastAsia="Calibri" w:hAnsi="Calibri"/>
        <w:b w:val="false"/>
        <w:bCs w:val="false"/>
        <w:i w:val="false"/>
        <w:iCs w:val="false"/>
        <w:color w:val="000000"/>
        <w:sz w:val="4"/>
        <w:szCs w:val="4"/>
      </w:rPr>
      <w:t xml:space="preserve"/>
    </w:r>
  </w:p>
  <w:p>
    <w:pPr>
      <w:spacing w:after="0" w:before="40"/>
      <w:jc w:val="right"/>
    </w:pPr>
    <w:r>
      <w:rPr>
        <w:rFonts w:ascii="Calibri" w:cs="Calibri" w:eastAsia="Calibri" w:hAnsi="Calibri"/>
        <w:b w:val="false"/>
        <w:bCs w:val="false"/>
        <w:i w:val="false"/>
        <w:iCs w:val="false"/>
        <w:color w:val="444444"/>
        <w:sz w:val="16"/>
        <w:szCs w:val="16"/>
      </w:rPr>
      <w:t xml:space="preserve">Page </w:t>
    </w:r>
    <w:r>
      <w:rPr>
        <w:rFonts w:ascii="Calibri" w:cs="Calibri" w:eastAsia="Calibri" w:hAnsi="Calibri"/>
        <w:color w:val="444444"/>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444444"/>
        <w:sz w:val="16"/>
        <w:szCs w:val="16"/>
      </w:rPr>
      <w:t xml:space="preserve"> of </w:t>
    </w:r>
    <w:r>
      <w:rPr>
        <w:rFonts w:ascii="Calibri" w:cs="Calibri" w:eastAsia="Calibri" w:hAnsi="Calibri"/>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line="288" w:lineRule="auto"/>
      <w:jc w:val="left"/>
    </w:pPr>
    <w:r>
      <w:rPr>
        <w:rFonts w:ascii="Calibri" w:cs="Calibri" w:eastAsia="Calibri" w:hAnsi="Calibri"/>
        <w:b w:val="false"/>
        <w:bCs w:val="false"/>
        <w:i w:val="false"/>
        <w:iCs w:val="false"/>
        <w:color w:val="444444"/>
        <w:sz w:val="16"/>
        <w:szCs w:val="16"/>
      </w:rPr>
      <w:t xml:space="preserve">BESS Siting Tool v4 — Change Log &amp; Rationale  ·  TPS × MassDOER Fellowship  ·  April 2026</w:t>
    </w:r>
  </w:p>
  <w:p>
    <w:pPr>
      <w:pBdr>
        <w:bottom w:val="single" w:color="AAAAAA" w:sz="2" w:space="1"/>
      </w:pBdr>
      <w:spacing w:after="0" w:before="0"/>
    </w:pPr>
    <w:r>
      <w:rPr>
        <w:rFonts w:ascii="Calibri" w:cs="Calibri" w:eastAsia="Calibri" w:hAnsi="Calibri"/>
        <w:b w:val="false"/>
        <w:bCs w:val="false"/>
        <w:i w:val="false"/>
        <w:iCs w:val="false"/>
        <w:color w:val="000000"/>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before="30"/>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2026-04-16T17:55:19.049Z</dcterms:created>
  <dcterms:modified xsi:type="dcterms:W3CDTF">2026-04-16T17:55:19.049Z</dcterms:modified>
</cp:coreProperties>
</file>

<file path=docProps/custom.xml><?xml version="1.0" encoding="utf-8"?>
<Properties xmlns="http://schemas.openxmlformats.org/officeDocument/2006/custom-properties" xmlns:vt="http://schemas.openxmlformats.org/officeDocument/2006/docPropsVTypes"/>
</file>