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8" w:lineRule="auto"/>
        <w:jc w:val="left"/>
      </w:pPr>
      <w:r>
        <w:rPr>
          <w:rFonts w:ascii="Calibri" w:cs="Calibri" w:eastAsia="Calibri" w:hAnsi="Calibri"/>
          <w:b/>
          <w:bCs/>
          <w:i w:val="false"/>
          <w:iCs w:val="false"/>
          <w:color w:val="000000"/>
          <w:sz w:val="34"/>
          <w:szCs w:val="34"/>
        </w:rPr>
        <w:t xml:space="preserve">BESS Siting Tool — Complete Presentation Transcript</w:t>
      </w:r>
    </w:p>
    <w:p>
      <w:pPr>
        <w:spacing w:after="40" w:before="0" w:line="288" w:lineRule="auto"/>
        <w:jc w:val="left"/>
      </w:pPr>
      <w:r>
        <w:rPr>
          <w:rFonts w:ascii="Calibri" w:cs="Calibri" w:eastAsia="Calibri" w:hAnsi="Calibri"/>
          <w:b w:val="false"/>
          <w:bCs w:val="false"/>
          <w:i w:val="false"/>
          <w:iCs w:val="false"/>
          <w:color w:val="000000"/>
          <w:sz w:val="24"/>
          <w:szCs w:val="24"/>
        </w:rPr>
        <w:t xml:space="preserve">All 19 Slides  ·  10 Minutes Total  ·  Mixed Expert &amp; Non-Expert Audience</w:t>
      </w:r>
    </w:p>
    <w:p>
      <w:pPr>
        <w:spacing w:after="40" w:before="0" w:line="288" w:lineRule="auto"/>
        <w:jc w:val="left"/>
      </w:pPr>
      <w:r>
        <w:rPr>
          <w:rFonts w:ascii="Calibri" w:cs="Calibri" w:eastAsia="Calibri" w:hAnsi="Calibri"/>
          <w:b w:val="false"/>
          <w:bCs w:val="false"/>
          <w:i/>
          <w:iCs/>
          <w:color w:val="444444"/>
          <w:sz w:val="19"/>
          <w:szCs w:val="19"/>
        </w:rPr>
        <w:t xml:space="preserve">TPS × MassDOER Fellowship  ·  Monzia Moodie &amp; Kadir Farah  ·  April 2026</w:t>
      </w:r>
    </w:p>
    <w:p>
      <w:pPr>
        <w:pBdr>
          <w:bottom w:val="single" w:color="000000" w:sz="6" w:space="0"/>
        </w:pBdr>
        <w:spacing w:after="80" w:before="80"/>
      </w:pPr>
      <w:r>
        <w:rPr>
          <w:rFonts w:ascii="Calibri" w:cs="Calibri" w:eastAsia="Calibri" w:hAnsi="Calibri"/>
          <w:b w:val="false"/>
          <w:bCs w:val="false"/>
          <w:i w:val="false"/>
          <w:iCs w:val="false"/>
          <w:color w:val="000000"/>
          <w:sz w:val="4"/>
          <w:szCs w:val="4"/>
        </w:rPr>
        <w:t xml:space="preserve"/>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288" w:lineRule="auto"/>
        <w:jc w:val="left"/>
      </w:pPr>
      <w:r>
        <w:rPr>
          <w:rFonts w:ascii="Calibri" w:cs="Calibri" w:eastAsia="Calibri" w:hAnsi="Calibri"/>
          <w:b/>
          <w:bCs/>
          <w:i w:val="false"/>
          <w:iCs w:val="false"/>
          <w:color w:val="000000"/>
          <w:sz w:val="26"/>
          <w:szCs w:val="26"/>
        </w:rPr>
        <w:t xml:space="preserve">How to Use This Transcript</w:t>
      </w:r>
    </w:p>
    <w:p>
      <w:pPr>
        <w:spacing w:after="80" w:before="0" w:line="300" w:lineRule="auto"/>
        <w:jc w:val="left"/>
      </w:pPr>
      <w:r>
        <w:rPr>
          <w:rFonts w:ascii="Calibri" w:cs="Calibri" w:eastAsia="Calibri" w:hAnsi="Calibri"/>
          <w:b w:val="false"/>
          <w:bCs w:val="false"/>
          <w:i w:val="false"/>
          <w:iCs w:val="false"/>
          <w:color w:val="000000"/>
          <w:sz w:val="21"/>
          <w:szCs w:val="21"/>
        </w:rPr>
        <w:t xml:space="preserve">This document covers all nineteen slides across both five-minute halves. Each acronym is defined exactly once in a shaded box at the slide where it first appears — showing its Origin (what the letters stand for), Meaning (what it actually is), and Purpose here (why it matters in this presentation). After that single definition, only the acronym is used. Bold text marks sentences to emphasize with a deliberate pause.</w:t>
      </w:r>
    </w:p>
    <w:p>
      <w:pPr>
        <w:spacing w:after="0" w:before="2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900"/>
        <w:gridCol w:w="1300"/>
        <w:gridCol w:w="5272"/>
        <w:gridCol w:w="1600"/>
      </w:tblGrid>
      <w:tr>
        <w:trPr>
          <w:tblHeader/>
        </w:trPr>
        <w:tc>
          <w:tcPr>
            <w:tcW w:type="dxa" w:w="900"/>
            <w:tcBorders>
              <w:top w:val="single" w:color="888888" w:sz="1" w:space="0"/>
              <w:left w:val="single" w:color="888888" w:sz="1" w:space="0"/>
              <w:bottom w:val="single" w:color="888888" w:sz="1" w:space="0"/>
              <w:right w:val="single" w:color="888888" w:sz="1" w:space="0"/>
            </w:tcBorders>
            <w:shd w:fill="0E2040" w:color="auto" w:val="clear"/>
            <w:tcMar>
              <w:top w:type="dxa" w:w="70"/>
              <w:left w:type="dxa" w:w="100"/>
              <w:bottom w:type="dxa" w:w="70"/>
              <w:right w:type="dxa" w:w="80"/>
            </w:tcMar>
          </w:tcPr>
          <w:p>
            <w:pPr>
              <w:spacing w:after="0" w:before="0" w:line="288" w:lineRule="auto"/>
              <w:jc w:val="center"/>
            </w:pPr>
            <w:r>
              <w:rPr>
                <w:rFonts w:ascii="Calibri" w:cs="Calibri" w:eastAsia="Calibri" w:hAnsi="Calibri"/>
                <w:b/>
                <w:bCs/>
                <w:i w:val="false"/>
                <w:iCs w:val="false"/>
                <w:color w:val="FFFFFF"/>
                <w:sz w:val="17"/>
                <w:szCs w:val="17"/>
              </w:rPr>
              <w:t xml:space="preserve">Slide</w:t>
            </w:r>
          </w:p>
        </w:tc>
        <w:tc>
          <w:tcPr>
            <w:tcW w:type="dxa" w:w="1300"/>
            <w:tcBorders>
              <w:top w:val="single" w:color="888888" w:sz="1" w:space="0"/>
              <w:left w:val="single" w:color="888888" w:sz="1" w:space="0"/>
              <w:bottom w:val="single" w:color="888888" w:sz="1" w:space="0"/>
              <w:right w:val="single" w:color="888888" w:sz="1" w:space="0"/>
            </w:tcBorders>
            <w:shd w:fill="0E2040" w:color="auto" w:val="clear"/>
            <w:tcMar>
              <w:top w:type="dxa" w:w="70"/>
              <w:left w:type="dxa" w:w="100"/>
              <w:bottom w:type="dxa" w:w="70"/>
              <w:right w:type="dxa" w:w="80"/>
            </w:tcMar>
          </w:tcPr>
          <w:p>
            <w:pPr>
              <w:spacing w:after="0" w:before="0" w:line="288" w:lineRule="auto"/>
              <w:jc w:val="center"/>
            </w:pPr>
            <w:r>
              <w:rPr>
                <w:rFonts w:ascii="Calibri" w:cs="Calibri" w:eastAsia="Calibri" w:hAnsi="Calibri"/>
                <w:b/>
                <w:bCs/>
                <w:i w:val="false"/>
                <w:iCs w:val="false"/>
                <w:color w:val="FFFFFF"/>
                <w:sz w:val="17"/>
                <w:szCs w:val="17"/>
              </w:rPr>
              <w:t xml:space="preserve">Half</w:t>
            </w:r>
          </w:p>
        </w:tc>
        <w:tc>
          <w:tcPr>
            <w:tcW w:type="dxa" w:w="5272"/>
            <w:tcBorders>
              <w:top w:val="single" w:color="888888" w:sz="1" w:space="0"/>
              <w:left w:val="single" w:color="888888" w:sz="1" w:space="0"/>
              <w:bottom w:val="single" w:color="888888" w:sz="1" w:space="0"/>
              <w:right w:val="single" w:color="888888" w:sz="1" w:space="0"/>
            </w:tcBorders>
            <w:shd w:fill="0E2040" w:color="auto" w:val="clear"/>
            <w:tcMar>
              <w:top w:type="dxa" w:w="70"/>
              <w:left w:type="dxa" w:w="120"/>
              <w:bottom w:type="dxa" w:w="70"/>
              <w:right w:type="dxa" w:w="80"/>
            </w:tcMar>
          </w:tcPr>
          <w:p>
            <w:pPr>
              <w:spacing w:after="0" w:before="0" w:line="288" w:lineRule="auto"/>
              <w:jc w:val="left"/>
            </w:pPr>
            <w:r>
              <w:rPr>
                <w:rFonts w:ascii="Calibri" w:cs="Calibri" w:eastAsia="Calibri" w:hAnsi="Calibri"/>
                <w:b/>
                <w:bCs/>
                <w:i w:val="false"/>
                <w:iCs w:val="false"/>
                <w:color w:val="FFFFFF"/>
                <w:sz w:val="17"/>
                <w:szCs w:val="17"/>
              </w:rPr>
              <w:t xml:space="preserve">Title</w:t>
            </w:r>
          </w:p>
        </w:tc>
        <w:tc>
          <w:tcPr>
            <w:tcW w:type="dxa" w:w="1600"/>
            <w:tcBorders>
              <w:top w:val="single" w:color="888888" w:sz="1" w:space="0"/>
              <w:left w:val="single" w:color="888888" w:sz="1" w:space="0"/>
              <w:bottom w:val="single" w:color="888888" w:sz="1" w:space="0"/>
              <w:right w:val="single" w:color="888888" w:sz="1" w:space="0"/>
            </w:tcBorders>
            <w:shd w:fill="0E2040" w:color="auto" w:val="clear"/>
            <w:tcMar>
              <w:top w:type="dxa" w:w="70"/>
              <w:left w:type="dxa" w:w="100"/>
              <w:bottom w:type="dxa" w:w="70"/>
              <w:right w:type="dxa" w:w="80"/>
            </w:tcMar>
          </w:tcPr>
          <w:p>
            <w:pPr>
              <w:spacing w:after="0" w:before="0" w:line="288" w:lineRule="auto"/>
              <w:jc w:val="center"/>
            </w:pPr>
            <w:r>
              <w:rPr>
                <w:rFonts w:ascii="Calibri" w:cs="Calibri" w:eastAsia="Calibri" w:hAnsi="Calibri"/>
                <w:b/>
                <w:bCs/>
                <w:i w:val="false"/>
                <w:iCs w:val="false"/>
                <w:color w:val="FFFFFF"/>
                <w:sz w:val="17"/>
                <w:szCs w:val="17"/>
              </w:rPr>
              <w:t xml:space="preserve">Time</w:t>
            </w:r>
          </w:p>
        </w:tc>
      </w:tr>
      <w:tr>
        <w:tc>
          <w:tcPr>
            <w:tcW w:type="dxa" w:w="9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w:t>
            </w:r>
          </w:p>
        </w:tc>
        <w:tc>
          <w:tcPr>
            <w:tcW w:type="dxa" w:w="13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1</w:t>
            </w:r>
          </w:p>
        </w:tc>
        <w:tc>
          <w:tcPr>
            <w:tcW w:type="dxa" w:w="52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Title</w:t>
            </w:r>
          </w:p>
        </w:tc>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25 sec</w:t>
            </w:r>
          </w:p>
        </w:tc>
      </w:tr>
      <w:tr>
        <w:tc>
          <w:tcPr>
            <w:tcW w:type="dxa" w:w="9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2</w:t>
            </w:r>
          </w:p>
        </w:tc>
        <w:tc>
          <w:tcPr>
            <w:tcW w:type="dxa" w:w="13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1</w:t>
            </w:r>
          </w:p>
        </w:tc>
        <w:tc>
          <w:tcPr>
            <w:tcW w:type="dxa" w:w="52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The Massachusetts Energy Storage Imperative</w:t>
            </w:r>
          </w:p>
        </w:tc>
        <w:tc>
          <w:tcPr>
            <w:tcW w:type="dxa" w:w="16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40 sec</w:t>
            </w:r>
          </w:p>
        </w:tc>
      </w:tr>
      <w:tr>
        <w:tc>
          <w:tcPr>
            <w:tcW w:type="dxa" w:w="9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3</w:t>
            </w:r>
          </w:p>
        </w:tc>
        <w:tc>
          <w:tcPr>
            <w:tcW w:type="dxa" w:w="13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1</w:t>
            </w:r>
          </w:p>
        </w:tc>
        <w:tc>
          <w:tcPr>
            <w:tcW w:type="dxa" w:w="52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Why BESS Projects Fail Before They Start</w:t>
            </w:r>
          </w:p>
        </w:tc>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40 sec</w:t>
            </w:r>
          </w:p>
        </w:tc>
      </w:tr>
      <w:tr>
        <w:tc>
          <w:tcPr>
            <w:tcW w:type="dxa" w:w="9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4</w:t>
            </w:r>
          </w:p>
        </w:tc>
        <w:tc>
          <w:tcPr>
            <w:tcW w:type="dxa" w:w="13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1</w:t>
            </w:r>
          </w:p>
        </w:tc>
        <w:tc>
          <w:tcPr>
            <w:tcW w:type="dxa" w:w="52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Methodology Foundation</w:t>
            </w:r>
          </w:p>
        </w:tc>
        <w:tc>
          <w:tcPr>
            <w:tcW w:type="dxa" w:w="16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35 sec</w:t>
            </w:r>
          </w:p>
        </w:tc>
      </w:tr>
      <w:tr>
        <w:tc>
          <w:tcPr>
            <w:tcW w:type="dxa" w:w="9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5</w:t>
            </w:r>
          </w:p>
        </w:tc>
        <w:tc>
          <w:tcPr>
            <w:tcW w:type="dxa" w:w="13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1</w:t>
            </w:r>
          </w:p>
        </w:tc>
        <w:tc>
          <w:tcPr>
            <w:tcW w:type="dxa" w:w="52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Five Integrated Evaluation Layers</w:t>
            </w:r>
          </w:p>
        </w:tc>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55 sec</w:t>
            </w:r>
          </w:p>
        </w:tc>
      </w:tr>
      <w:tr>
        <w:tc>
          <w:tcPr>
            <w:tcW w:type="dxa" w:w="9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6</w:t>
            </w:r>
          </w:p>
        </w:tc>
        <w:tc>
          <w:tcPr>
            <w:tcW w:type="dxa" w:w="13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1</w:t>
            </w:r>
          </w:p>
        </w:tc>
        <w:tc>
          <w:tcPr>
            <w:tcW w:type="dxa" w:w="52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Data Architecture &amp; User Pathways</w:t>
            </w:r>
          </w:p>
        </w:tc>
        <w:tc>
          <w:tcPr>
            <w:tcW w:type="dxa" w:w="16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35 sec</w:t>
            </w:r>
          </w:p>
        </w:tc>
      </w:tr>
      <w:tr>
        <w:tc>
          <w:tcPr>
            <w:tcW w:type="dxa" w:w="9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7</w:t>
            </w:r>
          </w:p>
        </w:tc>
        <w:tc>
          <w:tcPr>
            <w:tcW w:type="dxa" w:w="13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1</w:t>
            </w:r>
          </w:p>
        </w:tc>
        <w:tc>
          <w:tcPr>
            <w:tcW w:type="dxa" w:w="52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EJ Screening — Layer 1</w:t>
            </w:r>
          </w:p>
        </w:tc>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30 sec</w:t>
            </w:r>
          </w:p>
        </w:tc>
      </w:tr>
      <w:tr>
        <w:tc>
          <w:tcPr>
            <w:tcW w:type="dxa" w:w="9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8</w:t>
            </w:r>
          </w:p>
        </w:tc>
        <w:tc>
          <w:tcPr>
            <w:tcW w:type="dxa" w:w="13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1</w:t>
            </w:r>
          </w:p>
        </w:tc>
        <w:tc>
          <w:tcPr>
            <w:tcW w:type="dxa" w:w="52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Grid Feasibility &amp; Zoning — Layers 2 &amp; 3</w:t>
            </w:r>
          </w:p>
        </w:tc>
        <w:tc>
          <w:tcPr>
            <w:tcW w:type="dxa" w:w="16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40 sec</w:t>
            </w:r>
          </w:p>
        </w:tc>
      </w:tr>
      <w:tr>
        <w:tc>
          <w:tcPr>
            <w:tcW w:type="dxa" w:w="900"/>
            <w:tcBorders>
              <w:top w:val="single" w:color="BBBBBB" w:sz="1" w:space="0"/>
              <w:left w:val="single" w:color="BBBBBB" w:sz="1" w:space="0"/>
              <w:bottom w:val="single" w:color="BBBBBB" w:sz="1" w:space="0"/>
              <w:right w:val="single" w:color="BBBBBB" w:sz="1" w:space="0"/>
            </w:tcBorders>
            <w:shd w:fill="0D7C7B"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FFFFFF"/>
                <w:sz w:val="18"/>
                <w:szCs w:val="18"/>
              </w:rPr>
              <w:t xml:space="preserve"/>
            </w:r>
          </w:p>
        </w:tc>
        <w:tc>
          <w:tcPr>
            <w:tcW w:type="dxa" w:w="1300"/>
            <w:tcBorders>
              <w:top w:val="single" w:color="BBBBBB" w:sz="1" w:space="0"/>
              <w:left w:val="single" w:color="BBBBBB" w:sz="1" w:space="0"/>
              <w:bottom w:val="single" w:color="BBBBBB" w:sz="1" w:space="0"/>
              <w:right w:val="single" w:color="BBBBBB" w:sz="1" w:space="0"/>
            </w:tcBorders>
            <w:shd w:fill="0D7C7B"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FFFFFF"/>
                <w:sz w:val="18"/>
                <w:szCs w:val="18"/>
              </w:rPr>
              <w:t xml:space="preserve"/>
            </w:r>
          </w:p>
        </w:tc>
        <w:tc>
          <w:tcPr>
            <w:tcW w:type="dxa" w:w="5272"/>
            <w:tcBorders>
              <w:top w:val="single" w:color="BBBBBB" w:sz="1" w:space="0"/>
              <w:left w:val="single" w:color="BBBBBB" w:sz="1" w:space="0"/>
              <w:bottom w:val="single" w:color="BBBBBB" w:sz="1" w:space="0"/>
              <w:right w:val="single" w:color="BBBBBB" w:sz="1" w:space="0"/>
            </w:tcBorders>
            <w:shd w:fill="0D7C7B" w:color="auto" w:val="clear"/>
            <w:tcMar>
              <w:top w:type="dxa" w:w="60"/>
              <w:left w:type="dxa" w:w="120"/>
              <w:bottom w:type="dxa" w:w="60"/>
              <w:right w:type="dxa" w:w="80"/>
            </w:tcMar>
          </w:tcPr>
          <w:p>
            <w:pPr>
              <w:spacing w:after="0" w:before="0" w:line="288" w:lineRule="auto"/>
              <w:jc w:val="left"/>
            </w:pPr>
            <w:r>
              <w:rPr>
                <w:rFonts w:ascii="Calibri" w:cs="Calibri" w:eastAsia="Calibri" w:hAnsi="Calibri"/>
                <w:b/>
                <w:bCs/>
                <w:i w:val="false"/>
                <w:iCs w:val="false"/>
                <w:color w:val="FFFFFF"/>
                <w:sz w:val="18"/>
                <w:szCs w:val="18"/>
              </w:rPr>
              <w:t xml:space="preserve">HALF 1 TOTAL</w:t>
            </w:r>
          </w:p>
        </w:tc>
        <w:tc>
          <w:tcPr>
            <w:tcW w:type="dxa" w:w="1600"/>
            <w:tcBorders>
              <w:top w:val="single" w:color="BBBBBB" w:sz="1" w:space="0"/>
              <w:left w:val="single" w:color="BBBBBB" w:sz="1" w:space="0"/>
              <w:bottom w:val="single" w:color="BBBBBB" w:sz="1" w:space="0"/>
              <w:right w:val="single" w:color="BBBBBB" w:sz="1" w:space="0"/>
            </w:tcBorders>
            <w:shd w:fill="0D7C7B" w:color="auto" w:val="clear"/>
            <w:tcMar>
              <w:top w:type="dxa" w:w="60"/>
              <w:left w:type="dxa" w:w="100"/>
              <w:bottom w:type="dxa" w:w="60"/>
              <w:right w:type="dxa" w:w="80"/>
            </w:tcMar>
          </w:tcPr>
          <w:p>
            <w:pPr>
              <w:spacing w:after="0" w:before="0" w:line="288" w:lineRule="auto"/>
              <w:jc w:val="center"/>
            </w:pPr>
            <w:r>
              <w:rPr>
                <w:rFonts w:ascii="Calibri" w:cs="Calibri" w:eastAsia="Calibri" w:hAnsi="Calibri"/>
                <w:b/>
                <w:bCs/>
                <w:i w:val="false"/>
                <w:iCs w:val="false"/>
                <w:color w:val="FFFFFF"/>
                <w:sz w:val="18"/>
                <w:szCs w:val="18"/>
              </w:rPr>
              <w:t xml:space="preserve">5 min / 300 sec</w:t>
            </w:r>
          </w:p>
        </w:tc>
      </w:tr>
      <w:tr>
        <w:tc>
          <w:tcPr>
            <w:tcW w:type="dxa" w:w="9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9</w:t>
            </w:r>
          </w:p>
        </w:tc>
        <w:tc>
          <w:tcPr>
            <w:tcW w:type="dxa" w:w="13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Physical Feasibility &amp; Revenue — Layers 4 &amp; 5</w:t>
            </w:r>
          </w:p>
        </w:tc>
        <w:tc>
          <w:tcPr>
            <w:tcW w:type="dxa" w:w="16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35 sec</w:t>
            </w:r>
          </w:p>
        </w:tc>
      </w:tr>
      <w:tr>
        <w:tc>
          <w:tcPr>
            <w:tcW w:type="dxa" w:w="9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10</w:t>
            </w:r>
          </w:p>
        </w:tc>
        <w:tc>
          <w:tcPr>
            <w:tcW w:type="dxa" w:w="13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Composite Siting Scores — All 13 Municipalities</w:t>
            </w:r>
          </w:p>
        </w:tc>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25 sec</w:t>
            </w:r>
          </w:p>
        </w:tc>
      </w:tr>
      <w:tr>
        <w:tc>
          <w:tcPr>
            <w:tcW w:type="dxa" w:w="9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11</w:t>
            </w:r>
          </w:p>
        </w:tc>
        <w:tc>
          <w:tcPr>
            <w:tcW w:type="dxa" w:w="13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Suffolk vs. Middlesex — County &amp; Site Comparison</w:t>
            </w:r>
          </w:p>
        </w:tc>
        <w:tc>
          <w:tcPr>
            <w:tcW w:type="dxa" w:w="16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35 sec</w:t>
            </w:r>
          </w:p>
        </w:tc>
      </w:tr>
      <w:tr>
        <w:tc>
          <w:tcPr>
            <w:tcW w:type="dxa" w:w="9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12</w:t>
            </w:r>
          </w:p>
        </w:tc>
        <w:tc>
          <w:tcPr>
            <w:tcW w:type="dxa" w:w="13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Site Selection #1 — 231 Beacham St, Everett</w:t>
            </w:r>
          </w:p>
        </w:tc>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35 sec</w:t>
            </w:r>
          </w:p>
        </w:tc>
      </w:tr>
      <w:tr>
        <w:tc>
          <w:tcPr>
            <w:tcW w:type="dxa" w:w="9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13</w:t>
            </w:r>
          </w:p>
        </w:tc>
        <w:tc>
          <w:tcPr>
            <w:tcW w:type="dxa" w:w="13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Site Selection #2 — 283 Eastern Ave, Chelsea</w:t>
            </w:r>
          </w:p>
        </w:tc>
        <w:tc>
          <w:tcPr>
            <w:tcW w:type="dxa" w:w="16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30 sec</w:t>
            </w:r>
          </w:p>
        </w:tc>
      </w:tr>
      <w:tr>
        <w:tc>
          <w:tcPr>
            <w:tcW w:type="dxa" w:w="9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14</w:t>
            </w:r>
          </w:p>
        </w:tc>
        <w:tc>
          <w:tcPr>
            <w:tcW w:type="dxa" w:w="13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Financial Comparison: Everett vs. Chelsea</w:t>
            </w:r>
          </w:p>
        </w:tc>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35 sec</w:t>
            </w:r>
          </w:p>
        </w:tc>
      </w:tr>
      <w:tr>
        <w:tc>
          <w:tcPr>
            <w:tcW w:type="dxa" w:w="9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15</w:t>
            </w:r>
          </w:p>
        </w:tc>
        <w:tc>
          <w:tcPr>
            <w:tcW w:type="dxa" w:w="13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Project-Level Economic Impact</w:t>
            </w:r>
          </w:p>
        </w:tc>
        <w:tc>
          <w:tcPr>
            <w:tcW w:type="dxa" w:w="16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25 sec</w:t>
            </w:r>
          </w:p>
        </w:tc>
      </w:tr>
      <w:tr>
        <w:tc>
          <w:tcPr>
            <w:tcW w:type="dxa" w:w="9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16</w:t>
            </w:r>
          </w:p>
        </w:tc>
        <w:tc>
          <w:tcPr>
            <w:tcW w:type="dxa" w:w="13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The Tool's Unique Advantage</w:t>
            </w:r>
          </w:p>
        </w:tc>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20 sec</w:t>
            </w:r>
          </w:p>
        </w:tc>
      </w:tr>
      <w:tr>
        <w:tc>
          <w:tcPr>
            <w:tcW w:type="dxa" w:w="9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17</w:t>
            </w:r>
          </w:p>
        </w:tc>
        <w:tc>
          <w:tcPr>
            <w:tcW w:type="dxa" w:w="13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Conclusion</w:t>
            </w:r>
          </w:p>
        </w:tc>
        <w:tc>
          <w:tcPr>
            <w:tcW w:type="dxa" w:w="16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25 sec</w:t>
            </w:r>
          </w:p>
        </w:tc>
      </w:tr>
      <w:tr>
        <w:tc>
          <w:tcPr>
            <w:tcW w:type="dxa" w:w="9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18</w:t>
            </w:r>
          </w:p>
        </w:tc>
        <w:tc>
          <w:tcPr>
            <w:tcW w:type="dxa" w:w="13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Four Key Takeaways</w:t>
            </w:r>
          </w:p>
        </w:tc>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20 sec</w:t>
            </w:r>
          </w:p>
        </w:tc>
      </w:tr>
      <w:tr>
        <w:tc>
          <w:tcPr>
            <w:tcW w:type="dxa" w:w="9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19</w:t>
            </w:r>
          </w:p>
        </w:tc>
        <w:tc>
          <w:tcPr>
            <w:tcW w:type="dxa" w:w="13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Half 2</w:t>
            </w:r>
          </w:p>
        </w:tc>
        <w:tc>
          <w:tcPr>
            <w:tcW w:type="dxa" w:w="52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2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8"/>
                <w:szCs w:val="18"/>
              </w:rPr>
              <w:t xml:space="preserve">Questions &amp; Discussion</w:t>
            </w:r>
          </w:p>
        </w:tc>
        <w:tc>
          <w:tcPr>
            <w:tcW w:type="dxa" w:w="16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8"/>
                <w:szCs w:val="18"/>
              </w:rPr>
              <w:t xml:space="preserve">15 sec</w:t>
            </w:r>
          </w:p>
        </w:tc>
      </w:tr>
      <w:tr>
        <w:tc>
          <w:tcPr>
            <w:tcW w:type="dxa" w:w="900"/>
            <w:tcBorders>
              <w:top w:val="single" w:color="BBBBBB" w:sz="1" w:space="0"/>
              <w:left w:val="single" w:color="BBBBBB" w:sz="1" w:space="0"/>
              <w:bottom w:val="single" w:color="BBBBBB" w:sz="1" w:space="0"/>
              <w:right w:val="single" w:color="BBBBBB" w:sz="1" w:space="0"/>
            </w:tcBorders>
            <w:shd w:fill="0D7C7B"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FFFFFF"/>
                <w:sz w:val="18"/>
                <w:szCs w:val="18"/>
              </w:rPr>
              <w:t xml:space="preserve"/>
            </w:r>
          </w:p>
        </w:tc>
        <w:tc>
          <w:tcPr>
            <w:tcW w:type="dxa" w:w="1300"/>
            <w:tcBorders>
              <w:top w:val="single" w:color="BBBBBB" w:sz="1" w:space="0"/>
              <w:left w:val="single" w:color="BBBBBB" w:sz="1" w:space="0"/>
              <w:bottom w:val="single" w:color="BBBBBB" w:sz="1" w:space="0"/>
              <w:right w:val="single" w:color="BBBBBB" w:sz="1" w:space="0"/>
            </w:tcBorders>
            <w:shd w:fill="0D7C7B"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FFFFFF"/>
                <w:sz w:val="18"/>
                <w:szCs w:val="18"/>
              </w:rPr>
              <w:t xml:space="preserve"/>
            </w:r>
          </w:p>
        </w:tc>
        <w:tc>
          <w:tcPr>
            <w:tcW w:type="dxa" w:w="5272"/>
            <w:tcBorders>
              <w:top w:val="single" w:color="BBBBBB" w:sz="1" w:space="0"/>
              <w:left w:val="single" w:color="BBBBBB" w:sz="1" w:space="0"/>
              <w:bottom w:val="single" w:color="BBBBBB" w:sz="1" w:space="0"/>
              <w:right w:val="single" w:color="BBBBBB" w:sz="1" w:space="0"/>
            </w:tcBorders>
            <w:shd w:fill="0D7C7B" w:color="auto" w:val="clear"/>
            <w:tcMar>
              <w:top w:type="dxa" w:w="60"/>
              <w:left w:type="dxa" w:w="120"/>
              <w:bottom w:type="dxa" w:w="60"/>
              <w:right w:type="dxa" w:w="80"/>
            </w:tcMar>
          </w:tcPr>
          <w:p>
            <w:pPr>
              <w:spacing w:after="0" w:before="0" w:line="288" w:lineRule="auto"/>
              <w:jc w:val="left"/>
            </w:pPr>
            <w:r>
              <w:rPr>
                <w:rFonts w:ascii="Calibri" w:cs="Calibri" w:eastAsia="Calibri" w:hAnsi="Calibri"/>
                <w:b/>
                <w:bCs/>
                <w:i w:val="false"/>
                <w:iCs w:val="false"/>
                <w:color w:val="FFFFFF"/>
                <w:sz w:val="18"/>
                <w:szCs w:val="18"/>
              </w:rPr>
              <w:t xml:space="preserve">HALF 2 TOTAL</w:t>
            </w:r>
          </w:p>
        </w:tc>
        <w:tc>
          <w:tcPr>
            <w:tcW w:type="dxa" w:w="1600"/>
            <w:tcBorders>
              <w:top w:val="single" w:color="BBBBBB" w:sz="1" w:space="0"/>
              <w:left w:val="single" w:color="BBBBBB" w:sz="1" w:space="0"/>
              <w:bottom w:val="single" w:color="BBBBBB" w:sz="1" w:space="0"/>
              <w:right w:val="single" w:color="BBBBBB" w:sz="1" w:space="0"/>
            </w:tcBorders>
            <w:shd w:fill="0D7C7B" w:color="auto" w:val="clear"/>
            <w:tcMar>
              <w:top w:type="dxa" w:w="60"/>
              <w:left w:type="dxa" w:w="100"/>
              <w:bottom w:type="dxa" w:w="60"/>
              <w:right w:type="dxa" w:w="80"/>
            </w:tcMar>
          </w:tcPr>
          <w:p>
            <w:pPr>
              <w:spacing w:after="0" w:before="0" w:line="288" w:lineRule="auto"/>
              <w:jc w:val="center"/>
            </w:pPr>
            <w:r>
              <w:rPr>
                <w:rFonts w:ascii="Calibri" w:cs="Calibri" w:eastAsia="Calibri" w:hAnsi="Calibri"/>
                <w:b/>
                <w:bCs/>
                <w:i w:val="false"/>
                <w:iCs w:val="false"/>
                <w:color w:val="FFFFFF"/>
                <w:sz w:val="18"/>
                <w:szCs w:val="18"/>
              </w:rPr>
              <w:t xml:space="preserve">5 min / 300 sec</w:t>
            </w:r>
          </w:p>
        </w:tc>
      </w:tr>
      <w:tr>
        <w:tc>
          <w:tcPr>
            <w:tcW w:type="dxa" w:w="900"/>
            <w:tcBorders>
              <w:top w:val="single" w:color="BBBBBB" w:sz="1" w:space="0"/>
              <w:left w:val="single" w:color="BBBBBB" w:sz="1" w:space="0"/>
              <w:bottom w:val="single" w:color="BBBBBB" w:sz="1" w:space="0"/>
              <w:right w:val="single" w:color="BBBBBB" w:sz="1" w:space="0"/>
            </w:tcBorders>
            <w:shd w:fill="0D7C7B"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FFFFFF"/>
                <w:sz w:val="18"/>
                <w:szCs w:val="18"/>
              </w:rPr>
              <w:t xml:space="preserve"/>
            </w:r>
          </w:p>
        </w:tc>
        <w:tc>
          <w:tcPr>
            <w:tcW w:type="dxa" w:w="1300"/>
            <w:tcBorders>
              <w:top w:val="single" w:color="BBBBBB" w:sz="1" w:space="0"/>
              <w:left w:val="single" w:color="BBBBBB" w:sz="1" w:space="0"/>
              <w:bottom w:val="single" w:color="BBBBBB" w:sz="1" w:space="0"/>
              <w:right w:val="single" w:color="BBBBBB" w:sz="1" w:space="0"/>
            </w:tcBorders>
            <w:shd w:fill="0D7C7B"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FFFFFF"/>
                <w:sz w:val="18"/>
                <w:szCs w:val="18"/>
              </w:rPr>
              <w:t xml:space="preserve"/>
            </w:r>
          </w:p>
        </w:tc>
        <w:tc>
          <w:tcPr>
            <w:tcW w:type="dxa" w:w="5272"/>
            <w:tcBorders>
              <w:top w:val="single" w:color="BBBBBB" w:sz="1" w:space="0"/>
              <w:left w:val="single" w:color="BBBBBB" w:sz="1" w:space="0"/>
              <w:bottom w:val="single" w:color="BBBBBB" w:sz="1" w:space="0"/>
              <w:right w:val="single" w:color="BBBBBB" w:sz="1" w:space="0"/>
            </w:tcBorders>
            <w:shd w:fill="0D7C7B" w:color="auto" w:val="clear"/>
            <w:tcMar>
              <w:top w:type="dxa" w:w="60"/>
              <w:left w:type="dxa" w:w="120"/>
              <w:bottom w:type="dxa" w:w="60"/>
              <w:right w:type="dxa" w:w="80"/>
            </w:tcMar>
          </w:tcPr>
          <w:p>
            <w:pPr>
              <w:spacing w:after="0" w:before="0" w:line="288" w:lineRule="auto"/>
              <w:jc w:val="left"/>
            </w:pPr>
            <w:r>
              <w:rPr>
                <w:rFonts w:ascii="Calibri" w:cs="Calibri" w:eastAsia="Calibri" w:hAnsi="Calibri"/>
                <w:b/>
                <w:bCs/>
                <w:i w:val="false"/>
                <w:iCs w:val="false"/>
                <w:color w:val="FFFFFF"/>
                <w:sz w:val="18"/>
                <w:szCs w:val="18"/>
              </w:rPr>
              <w:t xml:space="preserve">FULL PRESENTATION TOTAL</w:t>
            </w:r>
          </w:p>
        </w:tc>
        <w:tc>
          <w:tcPr>
            <w:tcW w:type="dxa" w:w="1600"/>
            <w:tcBorders>
              <w:top w:val="single" w:color="BBBBBB" w:sz="1" w:space="0"/>
              <w:left w:val="single" w:color="BBBBBB" w:sz="1" w:space="0"/>
              <w:bottom w:val="single" w:color="BBBBBB" w:sz="1" w:space="0"/>
              <w:right w:val="single" w:color="BBBBBB" w:sz="1" w:space="0"/>
            </w:tcBorders>
            <w:shd w:fill="0D7C7B" w:color="auto" w:val="clear"/>
            <w:tcMar>
              <w:top w:type="dxa" w:w="60"/>
              <w:left w:type="dxa" w:w="100"/>
              <w:bottom w:type="dxa" w:w="60"/>
              <w:right w:type="dxa" w:w="80"/>
            </w:tcMar>
          </w:tcPr>
          <w:p>
            <w:pPr>
              <w:spacing w:after="0" w:before="0" w:line="288" w:lineRule="auto"/>
              <w:jc w:val="center"/>
            </w:pPr>
            <w:r>
              <w:rPr>
                <w:rFonts w:ascii="Calibri" w:cs="Calibri" w:eastAsia="Calibri" w:hAnsi="Calibri"/>
                <w:b/>
                <w:bCs/>
                <w:i w:val="false"/>
                <w:iCs w:val="false"/>
                <w:color w:val="FFFFFF"/>
                <w:sz w:val="18"/>
                <w:szCs w:val="18"/>
              </w:rPr>
              <w:t xml:space="preserve">10 min / 600 sec</w:t>
            </w:r>
          </w:p>
        </w:tc>
      </w:tr>
    </w:tbl>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2" w:space="1"/>
        </w:pBdr>
        <w:spacing w:after="40" w:before="0" w:line="288" w:lineRule="auto"/>
        <w:jc w:val="left"/>
      </w:pPr>
      <w:r>
        <w:rPr>
          <w:rFonts w:ascii="Calibri" w:cs="Calibri" w:eastAsia="Calibri" w:hAnsi="Calibri"/>
          <w:b/>
          <w:bCs/>
          <w:i w:val="false"/>
          <w:iCs w:val="false"/>
          <w:color w:val="555555"/>
          <w:sz w:val="19"/>
          <w:szCs w:val="19"/>
        </w:rPr>
        <w:t xml:space="preserve">PRESENTER NOTES</w:t>
      </w:r>
    </w:p>
    <w:p>
      <w:pPr>
        <w:spacing w:after="40" w:before="0" w:line="288" w:lineRule="auto"/>
        <w:jc w:val="left"/>
      </w:pPr>
      <w:r>
        <w:rPr>
          <w:rFonts w:ascii="Calibri" w:cs="Calibri" w:eastAsia="Calibri" w:hAnsi="Calibri"/>
          <w:b w:val="false"/>
          <w:bCs w:val="false"/>
          <w:i w:val="false"/>
          <w:iCs w:val="false"/>
          <w:color w:val="555555"/>
          <w:sz w:val="19"/>
          <w:szCs w:val="19"/>
        </w:rPr>
        <w:t xml:space="preserve">·  Bold text = slow down. Pause briefly before and after each bolded sentence.</w:t>
      </w:r>
    </w:p>
    <w:p>
      <w:pPr>
        <w:spacing w:after="40" w:before="0" w:line="288" w:lineRule="auto"/>
        <w:jc w:val="left"/>
      </w:pPr>
      <w:r>
        <w:rPr>
          <w:rFonts w:ascii="Calibri" w:cs="Calibri" w:eastAsia="Calibri" w:hAnsi="Calibri"/>
          <w:b w:val="false"/>
          <w:bCs w:val="false"/>
          <w:i w:val="false"/>
          <w:iCs w:val="false"/>
          <w:color w:val="555555"/>
          <w:sz w:val="19"/>
          <w:szCs w:val="19"/>
        </w:rPr>
        <w:t xml:space="preserve">·  Shaded boxes are for YOU. Read them aloud once, clearly, then move on. Never re-explain an acronym.</w:t>
      </w:r>
    </w:p>
    <w:p>
      <w:pPr>
        <w:spacing w:after="40" w:before="0" w:line="288" w:lineRule="auto"/>
        <w:jc w:val="left"/>
      </w:pPr>
      <w:r>
        <w:rPr>
          <w:rFonts w:ascii="Calibri" w:cs="Calibri" w:eastAsia="Calibri" w:hAnsi="Calibri"/>
          <w:b w:val="false"/>
          <w:bCs w:val="false"/>
          <w:i w:val="false"/>
          <w:iCs w:val="false"/>
          <w:color w:val="555555"/>
          <w:sz w:val="19"/>
          <w:szCs w:val="19"/>
        </w:rPr>
        <w:t xml:space="preserve">·  After first definition, use only the acronym — the audience now knows what it means.</w:t>
      </w:r>
    </w:p>
    <w:p>
      <w:pPr>
        <w:spacing w:after="40" w:before="0" w:line="288" w:lineRule="auto"/>
        <w:jc w:val="left"/>
      </w:pPr>
      <w:r>
        <w:rPr>
          <w:rFonts w:ascii="Calibri" w:cs="Calibri" w:eastAsia="Calibri" w:hAnsi="Calibri"/>
          <w:b w:val="false"/>
          <w:bCs w:val="false"/>
          <w:i w:val="false"/>
          <w:iCs w:val="false"/>
          <w:color w:val="555555"/>
          <w:sz w:val="19"/>
          <w:szCs w:val="19"/>
        </w:rPr>
        <w:t xml:space="preserve">·  If a question arises mid-deck: 'Great question — let's come back to that in Q&amp;A.'</w:t>
      </w:r>
    </w:p>
    <w:p>
      <w:pPr>
        <w:spacing w:after="40" w:before="0" w:line="288" w:lineRule="auto"/>
        <w:jc w:val="left"/>
      </w:pPr>
      <w:r>
        <w:rPr>
          <w:rFonts w:ascii="Calibri" w:cs="Calibri" w:eastAsia="Calibri" w:hAnsi="Calibri"/>
          <w:b w:val="false"/>
          <w:bCs w:val="false"/>
          <w:i w:val="false"/>
          <w:iCs w:val="false"/>
          <w:color w:val="555555"/>
          <w:sz w:val="19"/>
          <w:szCs w:val="19"/>
        </w:rPr>
        <w:t xml:space="preserve">·  On slides 12 and 13, pause and draw attention to the YELLOW-BORDERED scoring panel before reading the financial metrics. Say: 'What you see highlighted on the left is what the tool produced. What you see on the right is what the financial model confirmed.'</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000000" w:sz="6" w:space="0"/>
        </w:pBdr>
        <w:spacing w:after="80" w:before="80"/>
      </w:pPr>
      <w:r>
        <w:rPr>
          <w:rFonts w:ascii="Calibri" w:cs="Calibri" w:eastAsia="Calibri" w:hAnsi="Calibri"/>
          <w:b w:val="false"/>
          <w:bCs w:val="false"/>
          <w:i w:val="false"/>
          <w:iCs w:val="false"/>
          <w:color w:val="000000"/>
          <w:sz w:val="4"/>
          <w:szCs w:val="4"/>
        </w:rPr>
        <w:t xml:space="preserve"/>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0E2040" w:sz="6" w:space="2"/>
        </w:pBdr>
        <w:spacing w:after="40" w:before="0" w:line="288" w:lineRule="auto"/>
        <w:jc w:val="left"/>
      </w:pPr>
      <w:r>
        <w:rPr>
          <w:rFonts w:ascii="Calibri" w:cs="Calibri" w:eastAsia="Calibri" w:hAnsi="Calibri"/>
          <w:b/>
          <w:bCs/>
          <w:i w:val="false"/>
          <w:iCs w:val="false"/>
          <w:color w:val="0E2040"/>
          <w:sz w:val="22"/>
          <w:szCs w:val="22"/>
        </w:rPr>
        <w:t xml:space="preserve">FIRST HALF — SLIDES 1–8  ·  5 MINUTES</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E2040"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25 sec  ·  Half 1</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Title Slide</w:t>
            </w:r>
          </w:p>
          <w:p>
            <w:pPr>
              <w:spacing w:after="0" w:before="0" w:line="300" w:lineRule="auto"/>
              <w:jc w:val="left"/>
            </w:pPr>
            <w:r>
              <w:rPr>
                <w:rFonts w:ascii="Calibri" w:cs="Calibri" w:eastAsia="Calibri" w:hAnsi="Calibri"/>
                <w:b/>
                <w:bCs/>
                <w:i w:val="false"/>
                <w:iCs w:val="false"/>
                <w:color w:val="0E2040"/>
                <w:sz w:val="19"/>
                <w:szCs w:val="19"/>
              </w:rPr>
              <w:t xml:space="preserve">Main point: </w:t>
            </w:r>
            <w:r>
              <w:rPr>
                <w:rFonts w:ascii="Calibri" w:cs="Calibri" w:eastAsia="Calibri" w:hAnsi="Calibri"/>
                <w:b w:val="false"/>
                <w:bCs w:val="false"/>
                <w:i/>
                <w:iCs/>
                <w:color w:val="000000"/>
                <w:sz w:val="19"/>
                <w:szCs w:val="19"/>
              </w:rPr>
              <w:t xml:space="preserve">We built a structured tool that identifies the right battery storage sites before capital is committed.</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Good [morning / afternoon]. My name is Monzia Moodie, and I am joined by my colleague Kadir Farah. Together we are </w:t>
      </w:r>
      <w:r>
        <w:rPr>
          <w:rFonts w:ascii="Calibri" w:cs="Calibri" w:eastAsia="Calibri" w:hAnsi="Calibri"/>
          <w:b/>
          <w:bCs/>
          <w:i w:val="false"/>
          <w:iCs w:val="false"/>
          <w:color w:val="000000"/>
          <w:sz w:val="21"/>
          <w:szCs w:val="21"/>
        </w:rPr>
        <w:t xml:space="preserve">TPS Fellows</w:t>
      </w:r>
      <w:r>
        <w:rPr>
          <w:rFonts w:ascii="Calibri" w:cs="Calibri" w:eastAsia="Calibri" w:hAnsi="Calibri"/>
          <w:b w:val="false"/>
          <w:bCs w:val="false"/>
          <w:i w:val="false"/>
          <w:iCs w:val="false"/>
          <w:color w:val="000000"/>
          <w:sz w:val="21"/>
          <w:szCs w:val="21"/>
        </w:rPr>
        <w:t xml:space="preserve"> — practitioners embedded within government agencies to tackle real infrastructure challenges — and we have spent this fellowship building something Massachusetts does not yet have: </w:t>
      </w:r>
      <w:r>
        <w:rPr>
          <w:rFonts w:ascii="Calibri" w:cs="Calibri" w:eastAsia="Calibri" w:hAnsi="Calibri"/>
          <w:b/>
          <w:bCs/>
          <w:i w:val="false"/>
          <w:iCs w:val="false"/>
          <w:color w:val="000000"/>
          <w:sz w:val="21"/>
          <w:szCs w:val="21"/>
        </w:rPr>
        <w:t xml:space="preserve">a structured, evidence-based tool that tells you exactly where to put battery storage, and why.</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We tested it across two counties, scored thirteen cities, and identified the two strongest investment sites in the region. </w:t>
      </w:r>
      <w:r>
        <w:rPr>
          <w:rFonts w:ascii="Calibri" w:cs="Calibri" w:eastAsia="Calibri" w:hAnsi="Calibri"/>
          <w:b/>
          <w:bCs/>
          <w:i w:val="false"/>
          <w:iCs w:val="false"/>
          <w:color w:val="000000"/>
          <w:sz w:val="21"/>
          <w:szCs w:val="21"/>
        </w:rPr>
        <w:t xml:space="preserve">That is what the next ten minutes is about.</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E2040" w:sz="8" w:space="0"/>
        </w:pBdr>
        <w:spacing w:after="0" w:before="0" w:line="276" w:lineRule="auto"/>
        <w:ind w:left="160"/>
      </w:pPr>
      <w:r>
        <w:rPr>
          <w:rFonts w:ascii="Calibri" w:cs="Calibri" w:eastAsia="Calibri" w:hAnsi="Calibri"/>
          <w:b/>
          <w:bCs/>
          <w:color w:val="0E2040"/>
          <w:sz w:val="18"/>
          <w:szCs w:val="18"/>
        </w:rPr>
        <w:t xml:space="preserve">TRANSITION: </w:t>
      </w:r>
      <w:r>
        <w:rPr>
          <w:rFonts w:ascii="Calibri" w:cs="Calibri" w:eastAsia="Calibri" w:hAnsi="Calibri"/>
          <w:i/>
          <w:iCs/>
          <w:color w:val="333333"/>
          <w:sz w:val="18"/>
          <w:szCs w:val="18"/>
        </w:rPr>
        <w:t xml:space="preserve">Advance to Slide 2.</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D7C7B"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2</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40 sec  ·  Half 1</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The Massachusetts Energy Storage Imperative</w:t>
            </w:r>
          </w:p>
          <w:p>
            <w:pPr>
              <w:spacing w:after="0" w:before="0" w:line="300" w:lineRule="auto"/>
              <w:jc w:val="left"/>
            </w:pPr>
            <w:r>
              <w:rPr>
                <w:rFonts w:ascii="Calibri" w:cs="Calibri" w:eastAsia="Calibri" w:hAnsi="Calibri"/>
                <w:b/>
                <w:bCs/>
                <w:i w:val="false"/>
                <w:iCs w:val="false"/>
                <w:color w:val="0D7C7B"/>
                <w:sz w:val="19"/>
                <w:szCs w:val="19"/>
              </w:rPr>
              <w:t xml:space="preserve">Main point: </w:t>
            </w:r>
            <w:r>
              <w:rPr>
                <w:rFonts w:ascii="Calibri" w:cs="Calibri" w:eastAsia="Calibri" w:hAnsi="Calibri"/>
                <w:b w:val="false"/>
                <w:bCs w:val="false"/>
                <w:i/>
                <w:iCs/>
                <w:color w:val="000000"/>
                <w:sz w:val="19"/>
                <w:szCs w:val="19"/>
              </w:rPr>
              <w:t xml:space="preserve">Massachusetts is roughly 40% toward its 2030 storage goal — and the gap is a siting problem, not a capital problem.</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Massachusetts has a legal mandate: </w:t>
      </w:r>
      <w:r>
        <w:rPr>
          <w:rFonts w:ascii="Calibri" w:cs="Calibri" w:eastAsia="Calibri" w:hAnsi="Calibri"/>
          <w:b/>
          <w:bCs/>
          <w:i w:val="false"/>
          <w:iCs w:val="false"/>
          <w:color w:val="000000"/>
          <w:sz w:val="21"/>
          <w:szCs w:val="21"/>
        </w:rPr>
        <w:t xml:space="preserve">five thousand megawatts of battery storage by July 31st, 2030.</w:t>
      </w:r>
      <w:r>
        <w:rPr>
          <w:rFonts w:ascii="Calibri" w:cs="Calibri" w:eastAsia="Calibri" w:hAnsi="Calibri"/>
          <w:b w:val="false"/>
          <w:bCs w:val="false"/>
          <w:i w:val="false"/>
          <w:iCs w:val="false"/>
          <w:color w:val="000000"/>
          <w:sz w:val="21"/>
          <w:szCs w:val="21"/>
        </w:rPr>
        <w:t xml:space="preserve"> A megawatt is a unit of power — roughly enough electricity to serve about eight hundred average homes at any given moment. Five thousand of them represents an enormous amount of stored energy capacity. And this target is not aspirational — it is statutory, written directly into law under </w:t>
      </w:r>
      <w:r>
        <w:rPr>
          <w:rFonts w:ascii="Calibri" w:cs="Calibri" w:eastAsia="Calibri" w:hAnsi="Calibri"/>
          <w:b/>
          <w:bCs/>
          <w:i w:val="false"/>
          <w:iCs w:val="false"/>
          <w:color w:val="000000"/>
          <w:sz w:val="21"/>
          <w:szCs w:val="21"/>
        </w:rPr>
        <w:t xml:space="preserve">Chapter 239 of the Acts of 2024,</w:t>
      </w:r>
      <w:r>
        <w:rPr>
          <w:rFonts w:ascii="Calibri" w:cs="Calibri" w:eastAsia="Calibri" w:hAnsi="Calibri"/>
          <w:b w:val="false"/>
          <w:bCs w:val="false"/>
          <w:i w:val="false"/>
          <w:iCs w:val="false"/>
          <w:color w:val="000000"/>
          <w:sz w:val="21"/>
          <w:szCs w:val="21"/>
        </w:rPr>
        <w:t xml:space="preserve"> the most aggressive state storage mandate in the country.</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Where are we today? About two thousand megawatts — installed or actively in development — which is roughly forty percent of the goal. </w:t>
      </w:r>
      <w:r>
        <w:rPr>
          <w:rFonts w:ascii="Calibri" w:cs="Calibri" w:eastAsia="Calibri" w:hAnsi="Calibri"/>
          <w:b/>
          <w:bCs/>
          <w:i w:val="false"/>
          <w:iCs w:val="false"/>
          <w:color w:val="000000"/>
          <w:sz w:val="21"/>
          <w:szCs w:val="21"/>
        </w:rPr>
        <w:t xml:space="preserve">The gap is not financing. It is not technology. The gap is siting</w:t>
      </w:r>
      <w:r>
        <w:rPr>
          <w:rFonts w:ascii="Calibri" w:cs="Calibri" w:eastAsia="Calibri" w:hAnsi="Calibri"/>
          <w:b w:val="false"/>
          <w:bCs w:val="false"/>
          <w:i w:val="false"/>
          <w:iCs w:val="false"/>
          <w:color w:val="000000"/>
          <w:sz w:val="21"/>
          <w:szCs w:val="21"/>
        </w:rPr>
        <w:t xml:space="preserve"> — knowing where to put these projects, in which communities, connected to which parts of the electrical grid, before costly surprises derail them. That is precisely what this tool was designed to solve.</w:t>
      </w:r>
    </w:p>
    <w:p>
      <w:pPr>
        <w:pBdr>
          <w:left w:val="single" w:color="C68A17" w:sz="8" w:space="0"/>
        </w:pBdr>
        <w:shd w:fill="FFF9E6" w:color="auto" w:val="clear"/>
        <w:spacing w:after="40" w:before="40" w:line="276" w:lineRule="auto"/>
        <w:ind w:left="160"/>
      </w:pPr>
      <w:r>
        <w:rPr>
          <w:rFonts w:ascii="Calibri" w:cs="Calibri" w:eastAsia="Calibri" w:hAnsi="Calibri"/>
          <w:b w:val="false"/>
          <w:bCs w:val="false"/>
          <w:i/>
          <w:iCs/>
          <w:color w:val="7A5A00"/>
          <w:sz w:val="18"/>
          <w:szCs w:val="18"/>
        </w:rPr>
        <w:t xml:space="preserve">▶  PRESENTER NOTE: The '2,000+ MW' includes projects in active development and permitting, not just those already operational. Clarify if asked.</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D7C7B" w:sz="8" w:space="0"/>
        </w:pBdr>
        <w:spacing w:after="0" w:before="0" w:line="276" w:lineRule="auto"/>
        <w:ind w:left="160"/>
      </w:pPr>
      <w:r>
        <w:rPr>
          <w:rFonts w:ascii="Calibri" w:cs="Calibri" w:eastAsia="Calibri" w:hAnsi="Calibri"/>
          <w:b/>
          <w:bCs/>
          <w:color w:val="0D7C7B"/>
          <w:sz w:val="18"/>
          <w:szCs w:val="18"/>
        </w:rPr>
        <w:t xml:space="preserve">TRANSITION: </w:t>
      </w:r>
      <w:r>
        <w:rPr>
          <w:rFonts w:ascii="Calibri" w:cs="Calibri" w:eastAsia="Calibri" w:hAnsi="Calibri"/>
          <w:i/>
          <w:iCs/>
          <w:color w:val="333333"/>
          <w:sz w:val="18"/>
          <w:szCs w:val="18"/>
        </w:rPr>
        <w:t xml:space="preserve">Advance to Slide 3.</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A83D28"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3</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40 sec  ·  Half 1</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Why BESS Projects Fail Before They Start</w:t>
            </w:r>
          </w:p>
          <w:p>
            <w:pPr>
              <w:spacing w:after="0" w:before="0" w:line="300" w:lineRule="auto"/>
              <w:jc w:val="left"/>
            </w:pPr>
            <w:r>
              <w:rPr>
                <w:rFonts w:ascii="Calibri" w:cs="Calibri" w:eastAsia="Calibri" w:hAnsi="Calibri"/>
                <w:b/>
                <w:bCs/>
                <w:i w:val="false"/>
                <w:iCs w:val="false"/>
                <w:color w:val="A83D28"/>
                <w:sz w:val="19"/>
                <w:szCs w:val="19"/>
              </w:rPr>
              <w:t xml:space="preserve">Main point: </w:t>
            </w:r>
            <w:r>
              <w:rPr>
                <w:rFonts w:ascii="Calibri" w:cs="Calibri" w:eastAsia="Calibri" w:hAnsi="Calibri"/>
                <w:b w:val="false"/>
                <w:bCs w:val="false"/>
                <w:i/>
                <w:iCs/>
                <w:color w:val="000000"/>
                <w:sz w:val="19"/>
                <w:szCs w:val="19"/>
              </w:rPr>
              <w:t xml:space="preserve">Five preventable failure modes — all caused by missing early-stage information — drive delays, cost overruns, and community opposition.</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A83D28" w:sz="14" w:space="0"/>
              <w:bottom w:val="none" w:color="FFFFFF" w:sz="0" w:space="0"/>
              <w:right w:val="none" w:color="FFFFFF" w:sz="0" w:space="0"/>
            </w:tcBorders>
            <w:shd w:fill="A83D28"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A83D28" w:sz="1" w:space="0"/>
              <w:left w:val="none" w:color="FFFFFF" w:sz="0" w:space="0"/>
              <w:bottom w:val="single" w:color="A83D28"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A83D28"/>
                <w:sz w:val="22"/>
                <w:szCs w:val="22"/>
              </w:rPr>
              <w:t xml:space="preserve">BESS</w:t>
            </w:r>
            <w:r>
              <w:rPr>
                <w:rFonts w:ascii="Calibri" w:cs="Calibri" w:eastAsia="Calibri" w:hAnsi="Calibri"/>
                <w:b w:val="false"/>
                <w:bCs w:val="false"/>
                <w:i/>
                <w:iCs/>
                <w:color w:val="000000"/>
                <w:sz w:val="20"/>
                <w:szCs w:val="20"/>
              </w:rPr>
              <w:t xml:space="preserve">  —  Battery Energy Storage System</w:t>
            </w:r>
          </w:p>
          <w:p>
            <w:pPr>
              <w:spacing w:after="30" w:before="0" w:line="300" w:lineRule="auto"/>
              <w:jc w:val="left"/>
            </w:pPr>
            <w:r>
              <w:rPr>
                <w:rFonts w:ascii="Calibri" w:cs="Calibri" w:eastAsia="Calibri" w:hAnsi="Calibri"/>
                <w:b/>
                <w:bCs/>
                <w:i w:val="false"/>
                <w:iCs w:val="false"/>
                <w:color w:val="A83D28"/>
                <w:sz w:val="19"/>
                <w:szCs w:val="19"/>
              </w:rPr>
              <w:t xml:space="preserve">Origin: </w:t>
            </w:r>
            <w:r>
              <w:rPr>
                <w:rFonts w:ascii="Calibri" w:cs="Calibri" w:eastAsia="Calibri" w:hAnsi="Calibri"/>
                <w:b w:val="false"/>
                <w:bCs w:val="false"/>
                <w:i w:val="false"/>
                <w:iCs w:val="false"/>
                <w:color w:val="000000"/>
                <w:sz w:val="19"/>
                <w:szCs w:val="19"/>
              </w:rPr>
              <w:t xml:space="preserve">B = Battery, E = Energy, S = Storage, S = System.</w:t>
            </w:r>
          </w:p>
          <w:p>
            <w:pPr>
              <w:spacing w:after="30" w:before="0" w:line="300" w:lineRule="auto"/>
              <w:jc w:val="left"/>
            </w:pPr>
            <w:r>
              <w:rPr>
                <w:rFonts w:ascii="Calibri" w:cs="Calibri" w:eastAsia="Calibri" w:hAnsi="Calibri"/>
                <w:b/>
                <w:bCs/>
                <w:i w:val="false"/>
                <w:iCs w:val="false"/>
                <w:color w:val="A83D28"/>
                <w:sz w:val="19"/>
                <w:szCs w:val="19"/>
              </w:rPr>
              <w:t xml:space="preserve">Meaning: </w:t>
            </w:r>
            <w:r>
              <w:rPr>
                <w:rFonts w:ascii="Calibri" w:cs="Calibri" w:eastAsia="Calibri" w:hAnsi="Calibri"/>
                <w:b w:val="false"/>
                <w:bCs w:val="false"/>
                <w:i w:val="false"/>
                <w:iCs w:val="false"/>
                <w:color w:val="000000"/>
                <w:sz w:val="19"/>
                <w:szCs w:val="19"/>
              </w:rPr>
              <w:t xml:space="preserve">A BESS is a very large rechargeable battery — the same concept as the battery in your phone or electric car, but scaled to the size of a warehouse or several shipping containers. It stores electricity when supply is high or costs are low, then releases it back to the grid when demand spikes. Think of it as a giant, intelligent buffer between power generation and power use.</w:t>
            </w:r>
          </w:p>
          <w:p>
            <w:pPr>
              <w:spacing w:after="0" w:before="0" w:line="300" w:lineRule="auto"/>
              <w:jc w:val="left"/>
            </w:pPr>
            <w:r>
              <w:rPr>
                <w:rFonts w:ascii="Calibri" w:cs="Calibri" w:eastAsia="Calibri" w:hAnsi="Calibri"/>
                <w:b/>
                <w:bCs/>
                <w:i w:val="false"/>
                <w:iCs w:val="false"/>
                <w:color w:val="A83D28"/>
                <w:sz w:val="19"/>
                <w:szCs w:val="19"/>
              </w:rPr>
              <w:t xml:space="preserve">Purpose here: </w:t>
            </w:r>
            <w:r>
              <w:rPr>
                <w:rFonts w:ascii="Calibri" w:cs="Calibri" w:eastAsia="Calibri" w:hAnsi="Calibri"/>
                <w:b w:val="false"/>
                <w:bCs w:val="false"/>
                <w:i w:val="false"/>
                <w:iCs w:val="false"/>
                <w:color w:val="000000"/>
                <w:sz w:val="19"/>
                <w:szCs w:val="19"/>
              </w:rPr>
              <w:t xml:space="preserve">BESS is the core technology this project addresses. When we say 'battery storage project,' we mean a BESS. Massachusetts is counting on this technology to make its electricity system cleaner, more reliable, and less expensive.</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val="false"/>
          <w:bCs w:val="false"/>
          <w:i w:val="false"/>
          <w:iCs w:val="false"/>
          <w:color w:val="000000"/>
          <w:sz w:val="21"/>
          <w:szCs w:val="21"/>
        </w:rPr>
        <w:t xml:space="preserve">BESS projects — and that is the term we will use from here on — fail not at construction, but at site selection. The left side of this slide captures the five failure modes we see repeatedly.</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A83D28" w:sz="14" w:space="0"/>
              <w:bottom w:val="none" w:color="FFFFFF" w:sz="0" w:space="0"/>
              <w:right w:val="none" w:color="FFFFFF" w:sz="0" w:space="0"/>
            </w:tcBorders>
            <w:shd w:fill="A83D28"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A83D28" w:sz="1" w:space="0"/>
              <w:left w:val="none" w:color="FFFFFF" w:sz="0" w:space="0"/>
              <w:bottom w:val="single" w:color="A83D28"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A83D28"/>
                <w:sz w:val="22"/>
                <w:szCs w:val="22"/>
              </w:rPr>
              <w:t xml:space="preserve">EJ</w:t>
            </w:r>
            <w:r>
              <w:rPr>
                <w:rFonts w:ascii="Calibri" w:cs="Calibri" w:eastAsia="Calibri" w:hAnsi="Calibri"/>
                <w:b w:val="false"/>
                <w:bCs w:val="false"/>
                <w:i/>
                <w:iCs/>
                <w:color w:val="000000"/>
                <w:sz w:val="20"/>
                <w:szCs w:val="20"/>
              </w:rPr>
              <w:t xml:space="preserve">  —  Environmental Justice</w:t>
            </w:r>
          </w:p>
          <w:p>
            <w:pPr>
              <w:spacing w:after="30" w:before="0" w:line="300" w:lineRule="auto"/>
              <w:jc w:val="left"/>
            </w:pPr>
            <w:r>
              <w:rPr>
                <w:rFonts w:ascii="Calibri" w:cs="Calibri" w:eastAsia="Calibri" w:hAnsi="Calibri"/>
                <w:b/>
                <w:bCs/>
                <w:i w:val="false"/>
                <w:iCs w:val="false"/>
                <w:color w:val="A83D28"/>
                <w:sz w:val="19"/>
                <w:szCs w:val="19"/>
              </w:rPr>
              <w:t xml:space="preserve">Origin: </w:t>
            </w:r>
            <w:r>
              <w:rPr>
                <w:rFonts w:ascii="Calibri" w:cs="Calibri" w:eastAsia="Calibri" w:hAnsi="Calibri"/>
                <w:b w:val="false"/>
                <w:bCs w:val="false"/>
                <w:i w:val="false"/>
                <w:iCs w:val="false"/>
                <w:color w:val="000000"/>
                <w:sz w:val="19"/>
                <w:szCs w:val="19"/>
              </w:rPr>
              <w:t xml:space="preserve">Rooted in the U.S. civil rights movement of the 1980s, formally adopted into federal and state law over subsequent decades.</w:t>
            </w:r>
          </w:p>
          <w:p>
            <w:pPr>
              <w:spacing w:after="30" w:before="0" w:line="300" w:lineRule="auto"/>
              <w:jc w:val="left"/>
            </w:pPr>
            <w:r>
              <w:rPr>
                <w:rFonts w:ascii="Calibri" w:cs="Calibri" w:eastAsia="Calibri" w:hAnsi="Calibri"/>
                <w:b/>
                <w:bCs/>
                <w:i w:val="false"/>
                <w:iCs w:val="false"/>
                <w:color w:val="A83D28"/>
                <w:sz w:val="19"/>
                <w:szCs w:val="19"/>
              </w:rPr>
              <w:t xml:space="preserve">Meaning: </w:t>
            </w:r>
            <w:r>
              <w:rPr>
                <w:rFonts w:ascii="Calibri" w:cs="Calibri" w:eastAsia="Calibri" w:hAnsi="Calibri"/>
                <w:b w:val="false"/>
                <w:bCs w:val="false"/>
                <w:i w:val="false"/>
                <w:iCs w:val="false"/>
                <w:color w:val="000000"/>
                <w:sz w:val="19"/>
                <w:szCs w:val="19"/>
              </w:rPr>
              <w:t xml:space="preserve">EJ is both a legal framework and a moral principle. It holds that low-income communities and communities of color must not bear a disproportionate share of pollution, health risk, and environmental harm — including harm from large energy infrastructure. In Massachusetts, EJ status is formally designated by the state based on census data about income, race, and language access.</w:t>
            </w:r>
          </w:p>
          <w:p>
            <w:pPr>
              <w:spacing w:after="0" w:before="0" w:line="300" w:lineRule="auto"/>
              <w:jc w:val="left"/>
            </w:pPr>
            <w:r>
              <w:rPr>
                <w:rFonts w:ascii="Calibri" w:cs="Calibri" w:eastAsia="Calibri" w:hAnsi="Calibri"/>
                <w:b/>
                <w:bCs/>
                <w:i w:val="false"/>
                <w:iCs w:val="false"/>
                <w:color w:val="A83D28"/>
                <w:sz w:val="19"/>
                <w:szCs w:val="19"/>
              </w:rPr>
              <w:t xml:space="preserve">Purpose here: </w:t>
            </w:r>
            <w:r>
              <w:rPr>
                <w:rFonts w:ascii="Calibri" w:cs="Calibri" w:eastAsia="Calibri" w:hAnsi="Calibri"/>
                <w:b w:val="false"/>
                <w:bCs w:val="false"/>
                <w:i w:val="false"/>
                <w:iCs w:val="false"/>
                <w:color w:val="000000"/>
                <w:sz w:val="19"/>
                <w:szCs w:val="19"/>
              </w:rPr>
              <w:t xml:space="preserve">EJ designation triggers specific legal requirements for any new BESS project in those communities. In our study area, all thirteen cities qualify, meaning every project site carries binding legal obligations to the surrounding community that must be addressed before any permit is issued.</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bCs/>
          <w:i w:val="false"/>
          <w:iCs w:val="false"/>
          <w:color w:val="000000"/>
          <w:sz w:val="21"/>
          <w:szCs w:val="21"/>
        </w:rPr>
        <w:t xml:space="preserve">First: sites are chosen before anyone checks the EJ status of the surrounding community.</w:t>
      </w:r>
      <w:r>
        <w:rPr>
          <w:rFonts w:ascii="Calibri" w:cs="Calibri" w:eastAsia="Calibri" w:hAnsi="Calibri"/>
          <w:b w:val="false"/>
          <w:bCs w:val="false"/>
          <w:i w:val="false"/>
          <w:iCs w:val="false"/>
          <w:color w:val="000000"/>
          <w:sz w:val="21"/>
          <w:szCs w:val="21"/>
        </w:rPr>
        <w:t xml:space="preserve"> That triggers mandatory redesigns — at far greater cost.</w:t>
      </w:r>
    </w:p>
    <w:p>
      <w:pPr>
        <w:spacing w:after="100" w:before="0" w:line="300" w:lineRule="auto"/>
        <w:jc w:val="left"/>
      </w:pPr>
      <w:r>
        <w:rPr>
          <w:rFonts w:ascii="Calibri" w:cs="Calibri" w:eastAsia="Calibri" w:hAnsi="Calibri"/>
          <w:b/>
          <w:bCs/>
          <w:i w:val="false"/>
          <w:iCs w:val="false"/>
          <w:color w:val="000000"/>
          <w:sz w:val="21"/>
          <w:szCs w:val="21"/>
        </w:rPr>
        <w:t xml:space="preserve">Second: battery systems are sized based on how much land is available, when the actual limit is how much electricity the local grid can accept.</w:t>
      </w:r>
      <w:r>
        <w:rPr>
          <w:rFonts w:ascii="Calibri" w:cs="Calibri" w:eastAsia="Calibri" w:hAnsi="Calibri"/>
          <w:b w:val="false"/>
          <w:bCs w:val="false"/>
          <w:i w:val="false"/>
          <w:iCs w:val="false"/>
          <w:color w:val="000000"/>
          <w:sz w:val="21"/>
          <w:szCs w:val="21"/>
        </w:rPr>
        <w:t xml:space="preserve"> This is the most important finding in our project, and we will return to it.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Third: revenue is modeled using average prices across the whole grid, when prices vary dramatically by exact location. Fourth: communities bear environmental costs with no structured benefit. Fifth: the cost of connecting to the grid is guessed rather than researched. </w:t>
      </w:r>
      <w:r>
        <w:rPr>
          <w:rFonts w:ascii="Calibri" w:cs="Calibri" w:eastAsia="Calibri" w:hAnsi="Calibri"/>
          <w:b/>
          <w:bCs/>
          <w:i w:val="false"/>
          <w:iCs w:val="false"/>
          <w:color w:val="000000"/>
          <w:sz w:val="21"/>
          <w:szCs w:val="21"/>
        </w:rPr>
        <w:t xml:space="preserve">The right side is what our tool solves — one layer for each failure mode.</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A83D28" w:sz="8" w:space="0"/>
        </w:pBdr>
        <w:spacing w:after="0" w:before="0" w:line="276" w:lineRule="auto"/>
        <w:ind w:left="160"/>
      </w:pPr>
      <w:r>
        <w:rPr>
          <w:rFonts w:ascii="Calibri" w:cs="Calibri" w:eastAsia="Calibri" w:hAnsi="Calibri"/>
          <w:b/>
          <w:bCs/>
          <w:color w:val="A83D28"/>
          <w:sz w:val="18"/>
          <w:szCs w:val="18"/>
        </w:rPr>
        <w:t xml:space="preserve">TRANSITION: </w:t>
      </w:r>
      <w:r>
        <w:rPr>
          <w:rFonts w:ascii="Calibri" w:cs="Calibri" w:eastAsia="Calibri" w:hAnsi="Calibri"/>
          <w:i/>
          <w:iCs/>
          <w:color w:val="333333"/>
          <w:sz w:val="18"/>
          <w:szCs w:val="18"/>
        </w:rPr>
        <w:t xml:space="preserve">Advance to Slide 4.</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3A5278"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4</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35 sec  ·  Half 1</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Methodology Foundation</w:t>
            </w:r>
          </w:p>
          <w:p>
            <w:pPr>
              <w:spacing w:after="0" w:before="0" w:line="300" w:lineRule="auto"/>
              <w:jc w:val="left"/>
            </w:pPr>
            <w:r>
              <w:rPr>
                <w:rFonts w:ascii="Calibri" w:cs="Calibri" w:eastAsia="Calibri" w:hAnsi="Calibri"/>
                <w:b/>
                <w:bCs/>
                <w:i w:val="false"/>
                <w:iCs w:val="false"/>
                <w:color w:val="3A5278"/>
                <w:sz w:val="19"/>
                <w:szCs w:val="19"/>
              </w:rPr>
              <w:t xml:space="preserve">Main point: </w:t>
            </w:r>
            <w:r>
              <w:rPr>
                <w:rFonts w:ascii="Calibri" w:cs="Calibri" w:eastAsia="Calibri" w:hAnsi="Calibri"/>
                <w:b w:val="false"/>
                <w:bCs w:val="false"/>
                <w:i/>
                <w:iCs/>
                <w:color w:val="000000"/>
                <w:sz w:val="19"/>
                <w:szCs w:val="19"/>
              </w:rPr>
              <w:t xml:space="preserve">We built on the Worcester County baseline and made it five times more rigorous — adding EJ compliance, revenue modeling, zoning, and financial validation.</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3A5278" w:sz="14" w:space="0"/>
              <w:bottom w:val="none" w:color="FFFFFF" w:sz="0" w:space="0"/>
              <w:right w:val="none" w:color="FFFFFF" w:sz="0" w:space="0"/>
            </w:tcBorders>
            <w:shd w:fill="3A5278"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3A5278" w:sz="1" w:space="0"/>
              <w:left w:val="none" w:color="FFFFFF" w:sz="0" w:space="0"/>
              <w:bottom w:val="single" w:color="3A5278"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3A5278"/>
                <w:sz w:val="22"/>
                <w:szCs w:val="22"/>
              </w:rPr>
              <w:t xml:space="preserve">MCE</w:t>
            </w:r>
            <w:r>
              <w:rPr>
                <w:rFonts w:ascii="Calibri" w:cs="Calibri" w:eastAsia="Calibri" w:hAnsi="Calibri"/>
                <w:b w:val="false"/>
                <w:bCs w:val="false"/>
                <w:i/>
                <w:iCs/>
                <w:color w:val="000000"/>
                <w:sz w:val="20"/>
                <w:szCs w:val="20"/>
              </w:rPr>
              <w:t xml:space="preserve">  —  Multi-Criteria Evaluation</w:t>
            </w:r>
          </w:p>
          <w:p>
            <w:pPr>
              <w:spacing w:after="30" w:before="0" w:line="300" w:lineRule="auto"/>
              <w:jc w:val="left"/>
            </w:pPr>
            <w:r>
              <w:rPr>
                <w:rFonts w:ascii="Calibri" w:cs="Calibri" w:eastAsia="Calibri" w:hAnsi="Calibri"/>
                <w:b/>
                <w:bCs/>
                <w:i w:val="false"/>
                <w:iCs w:val="false"/>
                <w:color w:val="3A5278"/>
                <w:sz w:val="19"/>
                <w:szCs w:val="19"/>
              </w:rPr>
              <w:t xml:space="preserve">Origin: </w:t>
            </w:r>
            <w:r>
              <w:rPr>
                <w:rFonts w:ascii="Calibri" w:cs="Calibri" w:eastAsia="Calibri" w:hAnsi="Calibri"/>
                <w:b w:val="false"/>
                <w:bCs w:val="false"/>
                <w:i w:val="false"/>
                <w:iCs w:val="false"/>
                <w:color w:val="000000"/>
                <w:sz w:val="19"/>
                <w:szCs w:val="19"/>
              </w:rPr>
              <w:t xml:space="preserve">A structured analytical method developed in operations research and planning, widely used in government, engineering, and policy decision-making.</w:t>
            </w:r>
          </w:p>
          <w:p>
            <w:pPr>
              <w:spacing w:after="30" w:before="0" w:line="300" w:lineRule="auto"/>
              <w:jc w:val="left"/>
            </w:pPr>
            <w:r>
              <w:rPr>
                <w:rFonts w:ascii="Calibri" w:cs="Calibri" w:eastAsia="Calibri" w:hAnsi="Calibri"/>
                <w:b/>
                <w:bCs/>
                <w:i w:val="false"/>
                <w:iCs w:val="false"/>
                <w:color w:val="3A5278"/>
                <w:sz w:val="19"/>
                <w:szCs w:val="19"/>
              </w:rPr>
              <w:t xml:space="preserve">Meaning: </w:t>
            </w:r>
            <w:r>
              <w:rPr>
                <w:rFonts w:ascii="Calibri" w:cs="Calibri" w:eastAsia="Calibri" w:hAnsi="Calibri"/>
                <w:b w:val="false"/>
                <w:bCs w:val="false"/>
                <w:i w:val="false"/>
                <w:iCs w:val="false"/>
                <w:color w:val="000000"/>
                <w:sz w:val="19"/>
                <w:szCs w:val="19"/>
              </w:rPr>
              <w:t xml:space="preserve">An MCE scores locations across multiple independent factors simultaneously, rather than relying on a single measure. Think of it as a rigorous scorecard: each criterion gets its own score, those scores combine into a composite total, and the result is an objective, auditable ranking. Anyone can see exactly why a site ranked where it did.</w:t>
            </w:r>
          </w:p>
          <w:p>
            <w:pPr>
              <w:spacing w:after="0" w:before="0" w:line="300" w:lineRule="auto"/>
              <w:jc w:val="left"/>
            </w:pPr>
            <w:r>
              <w:rPr>
                <w:rFonts w:ascii="Calibri" w:cs="Calibri" w:eastAsia="Calibri" w:hAnsi="Calibri"/>
                <w:b/>
                <w:bCs/>
                <w:i w:val="false"/>
                <w:iCs w:val="false"/>
                <w:color w:val="3A5278"/>
                <w:sz w:val="19"/>
                <w:szCs w:val="19"/>
              </w:rPr>
              <w:t xml:space="preserve">Purpose here: </w:t>
            </w:r>
            <w:r>
              <w:rPr>
                <w:rFonts w:ascii="Calibri" w:cs="Calibri" w:eastAsia="Calibri" w:hAnsi="Calibri"/>
                <w:b w:val="false"/>
                <w:bCs w:val="false"/>
                <w:i w:val="false"/>
                <w:iCs w:val="false"/>
                <w:color w:val="000000"/>
                <w:sz w:val="19"/>
                <w:szCs w:val="19"/>
              </w:rPr>
              <w:t xml:space="preserve">We use an MCE to score all thirteen municipalities across five independent layers — EJ compliance, grid feasibility, zoning, physical site characteristics, and revenue potential — for a maximum composite score of 125 points. This replaces gut-feel site selection with a documented, repeatable process.</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val="false"/>
          <w:bCs w:val="false"/>
          <w:i w:val="false"/>
          <w:iCs w:val="false"/>
          <w:color w:val="000000"/>
          <w:sz w:val="21"/>
          <w:szCs w:val="21"/>
        </w:rPr>
        <w:t xml:space="preserve">Our approach builds on the prior cohort's Worcester County work, which used an MCE with three factors. For Suffolk and Middlesex Counties, we expanded that substantially: five scored dimensions, and — critically — the top two MCE scores were validated against actual financial screening models built for each specific site. </w:t>
      </w:r>
      <w:r>
        <w:rPr>
          <w:rFonts w:ascii="Calibri" w:cs="Calibri" w:eastAsia="Calibri" w:hAnsi="Calibri"/>
          <w:b/>
          <w:bCs/>
          <w:i w:val="false"/>
          <w:iCs w:val="false"/>
          <w:color w:val="000000"/>
          <w:sz w:val="21"/>
          <w:szCs w:val="21"/>
        </w:rPr>
        <w:t xml:space="preserve">The MCE output and real project economics align. That validation is what distinguishes this from a purely academic exercise.</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3A5278" w:sz="8" w:space="0"/>
        </w:pBdr>
        <w:spacing w:after="0" w:before="0" w:line="276" w:lineRule="auto"/>
        <w:ind w:left="160"/>
      </w:pPr>
      <w:r>
        <w:rPr>
          <w:rFonts w:ascii="Calibri" w:cs="Calibri" w:eastAsia="Calibri" w:hAnsi="Calibri"/>
          <w:b/>
          <w:bCs/>
          <w:color w:val="3A5278"/>
          <w:sz w:val="18"/>
          <w:szCs w:val="18"/>
        </w:rPr>
        <w:t xml:space="preserve">TRANSITION: </w:t>
      </w:r>
      <w:r>
        <w:rPr>
          <w:rFonts w:ascii="Calibri" w:cs="Calibri" w:eastAsia="Calibri" w:hAnsi="Calibri"/>
          <w:i/>
          <w:iCs/>
          <w:color w:val="333333"/>
          <w:sz w:val="18"/>
          <w:szCs w:val="18"/>
        </w:rPr>
        <w:t xml:space="preserve">Advance to Slide 5. This is the intellectual centerpiece of the first half.</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D7C7B"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5</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55 sec  ·  Half 1</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Five Integrated Evaluation Layers</w:t>
            </w:r>
          </w:p>
          <w:p>
            <w:pPr>
              <w:spacing w:after="0" w:before="0" w:line="300" w:lineRule="auto"/>
              <w:jc w:val="left"/>
            </w:pPr>
            <w:r>
              <w:rPr>
                <w:rFonts w:ascii="Calibri" w:cs="Calibri" w:eastAsia="Calibri" w:hAnsi="Calibri"/>
                <w:b/>
                <w:bCs/>
                <w:i w:val="false"/>
                <w:iCs w:val="false"/>
                <w:color w:val="0D7C7B"/>
                <w:sz w:val="19"/>
                <w:szCs w:val="19"/>
              </w:rPr>
              <w:t xml:space="preserve">Main point: </w:t>
            </w:r>
            <w:r>
              <w:rPr>
                <w:rFonts w:ascii="Calibri" w:cs="Calibri" w:eastAsia="Calibri" w:hAnsi="Calibri"/>
                <w:b w:val="false"/>
                <w:bCs w:val="false"/>
                <w:i/>
                <w:iCs/>
                <w:color w:val="000000"/>
                <w:sz w:val="19"/>
                <w:szCs w:val="19"/>
              </w:rPr>
              <w:t xml:space="preserve">Layer 2 is the most important operational discovery: grid hosting capacity — not land area — is the binding constraint on project scale.</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bCs/>
          <w:i w:val="false"/>
          <w:iCs w:val="false"/>
          <w:color w:val="000000"/>
          <w:sz w:val="21"/>
          <w:szCs w:val="21"/>
        </w:rPr>
        <w:t xml:space="preserve">Layer One: EJ compliance.</w:t>
      </w:r>
      <w:r>
        <w:rPr>
          <w:rFonts w:ascii="Calibri" w:cs="Calibri" w:eastAsia="Calibri" w:hAnsi="Calibri"/>
          <w:b w:val="false"/>
          <w:bCs w:val="false"/>
          <w:i w:val="false"/>
          <w:iCs w:val="false"/>
          <w:color w:val="000000"/>
          <w:sz w:val="21"/>
          <w:szCs w:val="21"/>
        </w:rPr>
        <w:t xml:space="preserve"> All thirteen cities are EJ-designated. Embedded within this layer is a requirement for a Cumulative Impact Analysis:</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A83D28" w:sz="14" w:space="0"/>
              <w:bottom w:val="none" w:color="FFFFFF" w:sz="0" w:space="0"/>
              <w:right w:val="none" w:color="FFFFFF" w:sz="0" w:space="0"/>
            </w:tcBorders>
            <w:shd w:fill="A83D28"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A83D28" w:sz="1" w:space="0"/>
              <w:left w:val="none" w:color="FFFFFF" w:sz="0" w:space="0"/>
              <w:bottom w:val="single" w:color="A83D28"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A83D28"/>
                <w:sz w:val="22"/>
                <w:szCs w:val="22"/>
              </w:rPr>
              <w:t xml:space="preserve">CIA</w:t>
            </w:r>
            <w:r>
              <w:rPr>
                <w:rFonts w:ascii="Calibri" w:cs="Calibri" w:eastAsia="Calibri" w:hAnsi="Calibri"/>
                <w:b w:val="false"/>
                <w:bCs w:val="false"/>
                <w:i/>
                <w:iCs/>
                <w:color w:val="000000"/>
                <w:sz w:val="20"/>
                <w:szCs w:val="20"/>
              </w:rPr>
              <w:t xml:space="preserve">  —  Cumulative Impact Analysis</w:t>
            </w:r>
          </w:p>
          <w:p>
            <w:pPr>
              <w:spacing w:after="30" w:before="0" w:line="300" w:lineRule="auto"/>
              <w:jc w:val="left"/>
            </w:pPr>
            <w:r>
              <w:rPr>
                <w:rFonts w:ascii="Calibri" w:cs="Calibri" w:eastAsia="Calibri" w:hAnsi="Calibri"/>
                <w:b/>
                <w:bCs/>
                <w:i w:val="false"/>
                <w:iCs w:val="false"/>
                <w:color w:val="A83D28"/>
                <w:sz w:val="19"/>
                <w:szCs w:val="19"/>
              </w:rPr>
              <w:t xml:space="preserve">Origin: </w:t>
            </w:r>
            <w:r>
              <w:rPr>
                <w:rFonts w:ascii="Calibri" w:cs="Calibri" w:eastAsia="Calibri" w:hAnsi="Calibri"/>
                <w:b w:val="false"/>
                <w:bCs w:val="false"/>
                <w:i w:val="false"/>
                <w:iCs w:val="false"/>
                <w:color w:val="000000"/>
                <w:sz w:val="19"/>
                <w:szCs w:val="19"/>
              </w:rPr>
              <w:t xml:space="preserve">'Cumulative' refers to the total accumulation of all environmental and health burdens a community already carries — not just from one project, but from every source of stress combined. Massachusetts codified this requirement under Chapter 8, Acts of 2021, with formal standards issued by the state's Office of EJ in January 2026.</w:t>
            </w:r>
          </w:p>
          <w:p>
            <w:pPr>
              <w:spacing w:after="30" w:before="0" w:line="300" w:lineRule="auto"/>
              <w:jc w:val="left"/>
            </w:pPr>
            <w:r>
              <w:rPr>
                <w:rFonts w:ascii="Calibri" w:cs="Calibri" w:eastAsia="Calibri" w:hAnsi="Calibri"/>
                <w:b/>
                <w:bCs/>
                <w:i w:val="false"/>
                <w:iCs w:val="false"/>
                <w:color w:val="A83D28"/>
                <w:sz w:val="19"/>
                <w:szCs w:val="19"/>
              </w:rPr>
              <w:t xml:space="preserve">Meaning: </w:t>
            </w:r>
            <w:r>
              <w:rPr>
                <w:rFonts w:ascii="Calibri" w:cs="Calibri" w:eastAsia="Calibri" w:hAnsi="Calibri"/>
                <w:b w:val="false"/>
                <w:bCs w:val="false"/>
                <w:i w:val="false"/>
                <w:iCs w:val="false"/>
                <w:color w:val="000000"/>
                <w:sz w:val="19"/>
                <w:szCs w:val="19"/>
              </w:rPr>
              <w:t xml:space="preserve">A CIA uses thirty-three indicators across three categories: pollution burden (air quality, toxic sites, traffic), health outcomes (asthma rates, cardiovascular disease, life expectancy), and socioeconomic factors (poverty, housing burden, linguistic isolation). It measures what a community already carries, then assesses what a new project adds on top.</w:t>
            </w:r>
          </w:p>
          <w:p>
            <w:pPr>
              <w:spacing w:after="0" w:before="0" w:line="300" w:lineRule="auto"/>
              <w:jc w:val="left"/>
            </w:pPr>
            <w:r>
              <w:rPr>
                <w:rFonts w:ascii="Calibri" w:cs="Calibri" w:eastAsia="Calibri" w:hAnsi="Calibri"/>
                <w:b/>
                <w:bCs/>
                <w:i w:val="false"/>
                <w:iCs w:val="false"/>
                <w:color w:val="A83D28"/>
                <w:sz w:val="19"/>
                <w:szCs w:val="19"/>
              </w:rPr>
              <w:t xml:space="preserve">Purpose here: </w:t>
            </w:r>
            <w:r>
              <w:rPr>
                <w:rFonts w:ascii="Calibri" w:cs="Calibri" w:eastAsia="Calibri" w:hAnsi="Calibri"/>
                <w:b w:val="false"/>
                <w:bCs w:val="false"/>
                <w:i w:val="false"/>
                <w:iCs w:val="false"/>
                <w:color w:val="000000"/>
                <w:sz w:val="19"/>
                <w:szCs w:val="19"/>
              </w:rPr>
              <w:t xml:space="preserve">A CIA is legally required for all new BESS projects in EJ communities in Massachusetts before the state issues a permit. Our tool generates the CIA compliance framework automatically. Massachusetts is the first state to mandate this for clean energy infrastructure.</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bCs/>
          <w:i w:val="false"/>
          <w:iCs w:val="false"/>
          <w:color w:val="000000"/>
          <w:sz w:val="21"/>
          <w:szCs w:val="21"/>
        </w:rPr>
        <w:t xml:space="preserve">Layer Two: grid feasibility — the binding constraint.</w:t>
      </w:r>
      <w:r>
        <w:rPr>
          <w:rFonts w:ascii="Calibri" w:cs="Calibri" w:eastAsia="Calibri" w:hAnsi="Calibri"/>
          <w:b w:val="false"/>
          <w:bCs w:val="false"/>
          <w:i w:val="false"/>
          <w:iCs w:val="false"/>
          <w:color w:val="000000"/>
          <w:sz w:val="21"/>
          <w:szCs w:val="21"/>
        </w:rPr>
        <w:t xml:space="preserve"> Project scale is determined by how much power the local electrical grid can accept, not by how much land is available. At 231 Beacham Street in Everett, the local feeder line supports fifteen megawatts. At 283 Eastern Avenue in Chelsea, a substation connection supports one hundred megawatts. </w:t>
      </w:r>
      <w:r>
        <w:rPr>
          <w:rFonts w:ascii="Calibri" w:cs="Calibri" w:eastAsia="Calibri" w:hAnsi="Calibri"/>
          <w:b/>
          <w:bCs/>
          <w:i w:val="false"/>
          <w:iCs w:val="false"/>
          <w:color w:val="000000"/>
          <w:sz w:val="21"/>
          <w:szCs w:val="21"/>
        </w:rPr>
        <w:t xml:space="preserve">The grid sets the ceiling, not the land.</w:t>
      </w:r>
    </w:p>
    <w:p>
      <w:pPr>
        <w:spacing w:after="100" w:before="0" w:line="300" w:lineRule="auto"/>
        <w:jc w:val="left"/>
      </w:pPr>
      <w:r>
        <w:rPr>
          <w:rFonts w:ascii="Calibri" w:cs="Calibri" w:eastAsia="Calibri" w:hAnsi="Calibri"/>
          <w:b/>
          <w:bCs/>
          <w:i w:val="false"/>
          <w:iCs w:val="false"/>
          <w:color w:val="000000"/>
          <w:sz w:val="21"/>
          <w:szCs w:val="21"/>
        </w:rPr>
        <w:t xml:space="preserve">Layer Three: zoning and legal framework.</w:t>
      </w:r>
      <w:r>
        <w:rPr>
          <w:rFonts w:ascii="Calibri" w:cs="Calibri" w:eastAsia="Calibri" w:hAnsi="Calibri"/>
          <w:b w:val="false"/>
          <w:bCs w:val="false"/>
          <w:i w:val="false"/>
          <w:iCs w:val="false"/>
          <w:color w:val="000000"/>
          <w:sz w:val="21"/>
          <w:szCs w:val="21"/>
        </w:rPr>
        <w:t xml:space="preserve"> The Massachusetts Department of Energy Resources — MassDOER, our project partner — published a Model Bylaw in October 2025 creating three permitting tiers. Our Chelsea project, at four hundred megawatt-hours, triggers:</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3A5278" w:sz="14" w:space="0"/>
              <w:bottom w:val="none" w:color="FFFFFF" w:sz="0" w:space="0"/>
              <w:right w:val="none" w:color="FFFFFF" w:sz="0" w:space="0"/>
            </w:tcBorders>
            <w:shd w:fill="3A5278"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3A5278" w:sz="1" w:space="0"/>
              <w:left w:val="none" w:color="FFFFFF" w:sz="0" w:space="0"/>
              <w:bottom w:val="single" w:color="3A5278"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3A5278"/>
                <w:sz w:val="22"/>
                <w:szCs w:val="22"/>
              </w:rPr>
              <w:t xml:space="preserve">EFSB</w:t>
            </w:r>
            <w:r>
              <w:rPr>
                <w:rFonts w:ascii="Calibri" w:cs="Calibri" w:eastAsia="Calibri" w:hAnsi="Calibri"/>
                <w:b w:val="false"/>
                <w:bCs w:val="false"/>
                <w:i/>
                <w:iCs/>
                <w:color w:val="000000"/>
                <w:sz w:val="20"/>
                <w:szCs w:val="20"/>
              </w:rPr>
              <w:t xml:space="preserve">  —  Energy Facilities Siting Board</w:t>
            </w:r>
          </w:p>
          <w:p>
            <w:pPr>
              <w:spacing w:after="30" w:before="0" w:line="300" w:lineRule="auto"/>
              <w:jc w:val="left"/>
            </w:pPr>
            <w:r>
              <w:rPr>
                <w:rFonts w:ascii="Calibri" w:cs="Calibri" w:eastAsia="Calibri" w:hAnsi="Calibri"/>
                <w:b/>
                <w:bCs/>
                <w:i w:val="false"/>
                <w:iCs w:val="false"/>
                <w:color w:val="3A5278"/>
                <w:sz w:val="19"/>
                <w:szCs w:val="19"/>
              </w:rPr>
              <w:t xml:space="preserve">Origin: </w:t>
            </w:r>
            <w:r>
              <w:rPr>
                <w:rFonts w:ascii="Calibri" w:cs="Calibri" w:eastAsia="Calibri" w:hAnsi="Calibri"/>
                <w:b w:val="false"/>
                <w:bCs w:val="false"/>
                <w:i w:val="false"/>
                <w:iCs w:val="false"/>
                <w:color w:val="000000"/>
                <w:sz w:val="19"/>
                <w:szCs w:val="19"/>
              </w:rPr>
              <w:t xml:space="preserve">Established by the Massachusetts legislature as the state's central authority for permitting large energy projects.</w:t>
            </w:r>
          </w:p>
          <w:p>
            <w:pPr>
              <w:spacing w:after="30" w:before="0" w:line="300" w:lineRule="auto"/>
              <w:jc w:val="left"/>
            </w:pPr>
            <w:r>
              <w:rPr>
                <w:rFonts w:ascii="Calibri" w:cs="Calibri" w:eastAsia="Calibri" w:hAnsi="Calibri"/>
                <w:b/>
                <w:bCs/>
                <w:i w:val="false"/>
                <w:iCs w:val="false"/>
                <w:color w:val="3A5278"/>
                <w:sz w:val="19"/>
                <w:szCs w:val="19"/>
              </w:rPr>
              <w:t xml:space="preserve">Meaning: </w:t>
            </w:r>
            <w:r>
              <w:rPr>
                <w:rFonts w:ascii="Calibri" w:cs="Calibri" w:eastAsia="Calibri" w:hAnsi="Calibri"/>
                <w:b w:val="false"/>
                <w:bCs w:val="false"/>
                <w:i w:val="false"/>
                <w:iCs w:val="false"/>
                <w:color w:val="000000"/>
                <w:sz w:val="19"/>
                <w:szCs w:val="19"/>
              </w:rPr>
              <w:t xml:space="preserve">The EFSB can issue a single unified permit for large energy projects, replacing the patchwork of local, regional, and state approvals that would otherwise be required. For BESS projects above 100 megawatt-hours, the EFSB has sole jurisdiction — no local government can veto the project — and must issue its decision within fifteen months. If it misses that deadline, the permit is automatically approved.</w:t>
            </w:r>
          </w:p>
          <w:p>
            <w:pPr>
              <w:spacing w:after="0" w:before="0" w:line="300" w:lineRule="auto"/>
              <w:jc w:val="left"/>
            </w:pPr>
            <w:r>
              <w:rPr>
                <w:rFonts w:ascii="Calibri" w:cs="Calibri" w:eastAsia="Calibri" w:hAnsi="Calibri"/>
                <w:b/>
                <w:bCs/>
                <w:i w:val="false"/>
                <w:iCs w:val="false"/>
                <w:color w:val="3A5278"/>
                <w:sz w:val="19"/>
                <w:szCs w:val="19"/>
              </w:rPr>
              <w:t xml:space="preserve">Purpose here: </w:t>
            </w:r>
            <w:r>
              <w:rPr>
                <w:rFonts w:ascii="Calibri" w:cs="Calibri" w:eastAsia="Calibri" w:hAnsi="Calibri"/>
                <w:b w:val="false"/>
                <w:bCs w:val="false"/>
                <w:i w:val="false"/>
                <w:iCs w:val="false"/>
                <w:color w:val="000000"/>
                <w:sz w:val="19"/>
                <w:szCs w:val="19"/>
              </w:rPr>
              <w:t xml:space="preserve">EFSB jurisdiction dramatically simplifies permitting for our Chelsea project, which qualifies at 400 megawatt-hours. Our Everett project at 60 megawatt-hours uses a faster local permitting path. Both sites sit in municipalities with zero BESS moratoriums — every such moratorium in Massachusetts has been struck down by the state Attorney General.</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val="false"/>
          <w:bCs w:val="false"/>
          <w:i w:val="false"/>
          <w:iCs w:val="false"/>
          <w:color w:val="000000"/>
          <w:sz w:val="21"/>
          <w:szCs w:val="21"/>
        </w:rPr>
        <w:t xml:space="preserve">Layer Four translates grid constraints and parcel data into a physical feasibility score. Layer Five is revenue modeling — the full income stack a project can earn: energy trading, grid capacity payments, state clean energy incentives, and federal tax credits. </w:t>
      </w:r>
      <w:r>
        <w:rPr>
          <w:rFonts w:ascii="Calibri" w:cs="Calibri" w:eastAsia="Calibri" w:hAnsi="Calibri"/>
          <w:b/>
          <w:bCs/>
          <w:i w:val="false"/>
          <w:iCs w:val="false"/>
          <w:color w:val="000000"/>
          <w:sz w:val="21"/>
          <w:szCs w:val="21"/>
        </w:rPr>
        <w:t xml:space="preserve">This is the slide that defines what makes a site genuinely investable, not just technically suitable.</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D7C7B" w:sz="8" w:space="0"/>
        </w:pBdr>
        <w:spacing w:after="0" w:before="0" w:line="276" w:lineRule="auto"/>
        <w:ind w:left="160"/>
      </w:pPr>
      <w:r>
        <w:rPr>
          <w:rFonts w:ascii="Calibri" w:cs="Calibri" w:eastAsia="Calibri" w:hAnsi="Calibri"/>
          <w:b/>
          <w:bCs/>
          <w:color w:val="0D7C7B"/>
          <w:sz w:val="18"/>
          <w:szCs w:val="18"/>
        </w:rPr>
        <w:t xml:space="preserve">TRANSITION: </w:t>
      </w:r>
      <w:r>
        <w:rPr>
          <w:rFonts w:ascii="Calibri" w:cs="Calibri" w:eastAsia="Calibri" w:hAnsi="Calibri"/>
          <w:i/>
          <w:iCs/>
          <w:color w:val="333333"/>
          <w:sz w:val="18"/>
          <w:szCs w:val="18"/>
        </w:rPr>
        <w:t xml:space="preserve">Advance to Slide 6.</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E2040"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6</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35 sec  ·  Half 1</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Data Architecture &amp; User Pathways</w:t>
            </w:r>
          </w:p>
          <w:p>
            <w:pPr>
              <w:spacing w:after="0" w:before="0" w:line="300" w:lineRule="auto"/>
              <w:jc w:val="left"/>
            </w:pPr>
            <w:r>
              <w:rPr>
                <w:rFonts w:ascii="Calibri" w:cs="Calibri" w:eastAsia="Calibri" w:hAnsi="Calibri"/>
                <w:b/>
                <w:bCs/>
                <w:i w:val="false"/>
                <w:iCs w:val="false"/>
                <w:color w:val="0E2040"/>
                <w:sz w:val="19"/>
                <w:szCs w:val="19"/>
              </w:rPr>
              <w:t xml:space="preserve">Main point: </w:t>
            </w:r>
            <w:r>
              <w:rPr>
                <w:rFonts w:ascii="Calibri" w:cs="Calibri" w:eastAsia="Calibri" w:hAnsi="Calibri"/>
                <w:b w:val="false"/>
                <w:bCs w:val="false"/>
                <w:i/>
                <w:iCs/>
                <w:color w:val="000000"/>
                <w:sz w:val="19"/>
                <w:szCs w:val="19"/>
              </w:rPr>
              <w:t xml:space="preserve">Ten publicly available data sources. Three simultaneous user audiences. One tool that serves all three at once.</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0E2040" w:sz="14" w:space="0"/>
              <w:bottom w:val="none" w:color="FFFFFF" w:sz="0" w:space="0"/>
              <w:right w:val="none" w:color="FFFFFF" w:sz="0" w:space="0"/>
            </w:tcBorders>
            <w:shd w:fill="0E2040"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0E2040" w:sz="1" w:space="0"/>
              <w:left w:val="none" w:color="FFFFFF" w:sz="0" w:space="0"/>
              <w:bottom w:val="single" w:color="0E2040"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0E2040"/>
                <w:sz w:val="22"/>
                <w:szCs w:val="22"/>
              </w:rPr>
              <w:t xml:space="preserve">MassDOER</w:t>
            </w:r>
            <w:r>
              <w:rPr>
                <w:rFonts w:ascii="Calibri" w:cs="Calibri" w:eastAsia="Calibri" w:hAnsi="Calibri"/>
                <w:b w:val="false"/>
                <w:bCs w:val="false"/>
                <w:i/>
                <w:iCs/>
                <w:color w:val="000000"/>
                <w:sz w:val="20"/>
                <w:szCs w:val="20"/>
              </w:rPr>
              <w:t xml:space="preserve">  —  Massachusetts Department of Energy Resources</w:t>
            </w:r>
          </w:p>
          <w:p>
            <w:pPr>
              <w:spacing w:after="30" w:before="0" w:line="300" w:lineRule="auto"/>
              <w:jc w:val="left"/>
            </w:pPr>
            <w:r>
              <w:rPr>
                <w:rFonts w:ascii="Calibri" w:cs="Calibri" w:eastAsia="Calibri" w:hAnsi="Calibri"/>
                <w:b/>
                <w:bCs/>
                <w:i w:val="false"/>
                <w:iCs w:val="false"/>
                <w:color w:val="0E2040"/>
                <w:sz w:val="19"/>
                <w:szCs w:val="19"/>
              </w:rPr>
              <w:t xml:space="preserve">Origin: </w:t>
            </w:r>
            <w:r>
              <w:rPr>
                <w:rFonts w:ascii="Calibri" w:cs="Calibri" w:eastAsia="Calibri" w:hAnsi="Calibri"/>
                <w:b w:val="false"/>
                <w:bCs w:val="false"/>
                <w:i w:val="false"/>
                <w:iCs w:val="false"/>
                <w:color w:val="000000"/>
                <w:sz w:val="19"/>
                <w:szCs w:val="19"/>
              </w:rPr>
              <w:t xml:space="preserve">Massachusetts' primary state agency for clean energy policy, established under Chapter 23J of the General Laws.</w:t>
            </w:r>
          </w:p>
          <w:p>
            <w:pPr>
              <w:spacing w:after="30" w:before="0" w:line="300" w:lineRule="auto"/>
              <w:jc w:val="left"/>
            </w:pPr>
            <w:r>
              <w:rPr>
                <w:rFonts w:ascii="Calibri" w:cs="Calibri" w:eastAsia="Calibri" w:hAnsi="Calibri"/>
                <w:b/>
                <w:bCs/>
                <w:i w:val="false"/>
                <w:iCs w:val="false"/>
                <w:color w:val="0E2040"/>
                <w:sz w:val="19"/>
                <w:szCs w:val="19"/>
              </w:rPr>
              <w:t xml:space="preserve">Meaning: </w:t>
            </w:r>
            <w:r>
              <w:rPr>
                <w:rFonts w:ascii="Calibri" w:cs="Calibri" w:eastAsia="Calibri" w:hAnsi="Calibri"/>
                <w:b w:val="false"/>
                <w:bCs w:val="false"/>
                <w:i w:val="false"/>
                <w:iCs w:val="false"/>
                <w:color w:val="000000"/>
                <w:sz w:val="19"/>
                <w:szCs w:val="19"/>
              </w:rPr>
              <w:t xml:space="preserve">MassDOER develops and implements energy policies, procurement programs, and regulatory guidance governing how Massachusetts meets its clean energy and storage targets. It oversees the 5,000 MW storage goal and runs the procurement program through which BESS projects receive long-term contracts.</w:t>
            </w:r>
          </w:p>
          <w:p>
            <w:pPr>
              <w:spacing w:after="0" w:before="0" w:line="300" w:lineRule="auto"/>
              <w:jc w:val="left"/>
            </w:pPr>
            <w:r>
              <w:rPr>
                <w:rFonts w:ascii="Calibri" w:cs="Calibri" w:eastAsia="Calibri" w:hAnsi="Calibri"/>
                <w:b/>
                <w:bCs/>
                <w:i w:val="false"/>
                <w:iCs w:val="false"/>
                <w:color w:val="0E2040"/>
                <w:sz w:val="19"/>
                <w:szCs w:val="19"/>
              </w:rPr>
              <w:t xml:space="preserve">Purpose here: </w:t>
            </w:r>
            <w:r>
              <w:rPr>
                <w:rFonts w:ascii="Calibri" w:cs="Calibri" w:eastAsia="Calibri" w:hAnsi="Calibri"/>
                <w:b w:val="false"/>
                <w:bCs w:val="false"/>
                <w:i w:val="false"/>
                <w:iCs w:val="false"/>
                <w:color w:val="000000"/>
                <w:sz w:val="19"/>
                <w:szCs w:val="19"/>
              </w:rPr>
              <w:t xml:space="preserve">MassDOER is our project partner and the primary government audience for this tool. Their policy staff can use it to pre-screen project bids, track 2030 goal progress, and confirm that incoming projects have cleared EJ and CIA requirements before committing agency review resources.</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0D7C7B" w:sz="14" w:space="0"/>
              <w:bottom w:val="none" w:color="FFFFFF" w:sz="0" w:space="0"/>
              <w:right w:val="none" w:color="FFFFFF" w:sz="0" w:space="0"/>
            </w:tcBorders>
            <w:shd w:fill="0D7C7B"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0D7C7B" w:sz="1" w:space="0"/>
              <w:left w:val="none" w:color="FFFFFF" w:sz="0" w:space="0"/>
              <w:bottom w:val="single" w:color="0D7C7B"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0D7C7B"/>
                <w:sz w:val="22"/>
                <w:szCs w:val="22"/>
              </w:rPr>
              <w:t xml:space="preserve">ISO-NE</w:t>
            </w:r>
            <w:r>
              <w:rPr>
                <w:rFonts w:ascii="Calibri" w:cs="Calibri" w:eastAsia="Calibri" w:hAnsi="Calibri"/>
                <w:b w:val="false"/>
                <w:bCs w:val="false"/>
                <w:i/>
                <w:iCs/>
                <w:color w:val="000000"/>
                <w:sz w:val="20"/>
                <w:szCs w:val="20"/>
              </w:rPr>
              <w:t xml:space="preserve">  —  ISO New England</w:t>
            </w:r>
          </w:p>
          <w:p>
            <w:pPr>
              <w:spacing w:after="30" w:before="0" w:line="300" w:lineRule="auto"/>
              <w:jc w:val="left"/>
            </w:pPr>
            <w:r>
              <w:rPr>
                <w:rFonts w:ascii="Calibri" w:cs="Calibri" w:eastAsia="Calibri" w:hAnsi="Calibri"/>
                <w:b/>
                <w:bCs/>
                <w:i w:val="false"/>
                <w:iCs w:val="false"/>
                <w:color w:val="0D7C7B"/>
                <w:sz w:val="19"/>
                <w:szCs w:val="19"/>
              </w:rPr>
              <w:t xml:space="preserve">Origin: </w:t>
            </w:r>
            <w:r>
              <w:rPr>
                <w:rFonts w:ascii="Calibri" w:cs="Calibri" w:eastAsia="Calibri" w:hAnsi="Calibri"/>
                <w:b w:val="false"/>
                <w:bCs w:val="false"/>
                <w:i w:val="false"/>
                <w:iCs w:val="false"/>
                <w:color w:val="000000"/>
                <w:sz w:val="19"/>
                <w:szCs w:val="19"/>
              </w:rPr>
              <w:t xml:space="preserve">ISO stands for Independent System Operator. ISO-NE was established in 1997 as a non-profit, independent body under the jurisdiction of the Federal Energy Regulatory Commission.</w:t>
            </w:r>
          </w:p>
          <w:p>
            <w:pPr>
              <w:spacing w:after="30" w:before="0" w:line="300" w:lineRule="auto"/>
              <w:jc w:val="left"/>
            </w:pPr>
            <w:r>
              <w:rPr>
                <w:rFonts w:ascii="Calibri" w:cs="Calibri" w:eastAsia="Calibri" w:hAnsi="Calibri"/>
                <w:b/>
                <w:bCs/>
                <w:i w:val="false"/>
                <w:iCs w:val="false"/>
                <w:color w:val="0D7C7B"/>
                <w:sz w:val="19"/>
                <w:szCs w:val="19"/>
              </w:rPr>
              <w:t xml:space="preserve">Meaning: </w:t>
            </w:r>
            <w:r>
              <w:rPr>
                <w:rFonts w:ascii="Calibri" w:cs="Calibri" w:eastAsia="Calibri" w:hAnsi="Calibri"/>
                <w:b w:val="false"/>
                <w:bCs w:val="false"/>
                <w:i w:val="false"/>
                <w:iCs w:val="false"/>
                <w:color w:val="000000"/>
                <w:sz w:val="19"/>
                <w:szCs w:val="19"/>
              </w:rPr>
              <w:t xml:space="preserve">ISO-NE operates the electrical grid for all six New England states — Connecticut, Maine, Massachusetts, New Hampshire, Rhode Island, and Vermont. It manages the real-time balance of electricity supply and demand, runs the competitive markets where electricity is bought and sold, and publishes extensive public data on prices, capacity, and grid conditions. Its independence means no single utility or company controls it.</w:t>
            </w:r>
          </w:p>
          <w:p>
            <w:pPr>
              <w:spacing w:after="0" w:before="0" w:line="300" w:lineRule="auto"/>
              <w:jc w:val="left"/>
            </w:pPr>
            <w:r>
              <w:rPr>
                <w:rFonts w:ascii="Calibri" w:cs="Calibri" w:eastAsia="Calibri" w:hAnsi="Calibri"/>
                <w:b/>
                <w:bCs/>
                <w:i w:val="false"/>
                <w:iCs w:val="false"/>
                <w:color w:val="0D7C7B"/>
                <w:sz w:val="19"/>
                <w:szCs w:val="19"/>
              </w:rPr>
              <w:t xml:space="preserve">Purpose here: </w:t>
            </w:r>
            <w:r>
              <w:rPr>
                <w:rFonts w:ascii="Calibri" w:cs="Calibri" w:eastAsia="Calibri" w:hAnsi="Calibri"/>
                <w:b w:val="false"/>
                <w:bCs w:val="false"/>
                <w:i w:val="false"/>
                <w:iCs w:val="false"/>
                <w:color w:val="000000"/>
                <w:sz w:val="19"/>
                <w:szCs w:val="19"/>
              </w:rPr>
              <w:t xml:space="preserve">ISO-NE data is the backbone of Layer Five in our tool. The prices ISO-NE publishes at each point on the grid determine how much a BESS project earns from energy trading and capacity market participation. We use ISO-NE data specifically for the NEMA zone — the Northern and Eastern Massachusetts pricing area where both our project sites are located.</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0D7C7B" w:sz="14" w:space="0"/>
              <w:bottom w:val="none" w:color="FFFFFF" w:sz="0" w:space="0"/>
              <w:right w:val="none" w:color="FFFFFF" w:sz="0" w:space="0"/>
            </w:tcBorders>
            <w:shd w:fill="0D7C7B"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0D7C7B" w:sz="1" w:space="0"/>
              <w:left w:val="none" w:color="FFFFFF" w:sz="0" w:space="0"/>
              <w:bottom w:val="single" w:color="0D7C7B"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0D7C7B"/>
                <w:sz w:val="22"/>
                <w:szCs w:val="22"/>
              </w:rPr>
              <w:t xml:space="preserve">LMP</w:t>
            </w:r>
            <w:r>
              <w:rPr>
                <w:rFonts w:ascii="Calibri" w:cs="Calibri" w:eastAsia="Calibri" w:hAnsi="Calibri"/>
                <w:b w:val="false"/>
                <w:bCs w:val="false"/>
                <w:i/>
                <w:iCs/>
                <w:color w:val="000000"/>
                <w:sz w:val="20"/>
                <w:szCs w:val="20"/>
              </w:rPr>
              <w:t xml:space="preserve">  —  Locational Marginal Price</w:t>
            </w:r>
          </w:p>
          <w:p>
            <w:pPr>
              <w:spacing w:after="30" w:before="0" w:line="300" w:lineRule="auto"/>
              <w:jc w:val="left"/>
            </w:pPr>
            <w:r>
              <w:rPr>
                <w:rFonts w:ascii="Calibri" w:cs="Calibri" w:eastAsia="Calibri" w:hAnsi="Calibri"/>
                <w:b/>
                <w:bCs/>
                <w:i w:val="false"/>
                <w:iCs w:val="false"/>
                <w:color w:val="0D7C7B"/>
                <w:sz w:val="19"/>
                <w:szCs w:val="19"/>
              </w:rPr>
              <w:t xml:space="preserve">Origin: </w:t>
            </w:r>
            <w:r>
              <w:rPr>
                <w:rFonts w:ascii="Calibri" w:cs="Calibri" w:eastAsia="Calibri" w:hAnsi="Calibri"/>
                <w:b w:val="false"/>
                <w:bCs w:val="false"/>
                <w:i w:val="false"/>
                <w:iCs w:val="false"/>
                <w:color w:val="000000"/>
                <w:sz w:val="19"/>
                <w:szCs w:val="19"/>
              </w:rPr>
              <w:t xml:space="preserve">A pricing concept developed by economists and grid operators to reflect the true, location-specific cost of delivering electricity across a constrained grid.</w:t>
            </w:r>
          </w:p>
          <w:p>
            <w:pPr>
              <w:spacing w:after="30" w:before="0" w:line="300" w:lineRule="auto"/>
              <w:jc w:val="left"/>
            </w:pPr>
            <w:r>
              <w:rPr>
                <w:rFonts w:ascii="Calibri" w:cs="Calibri" w:eastAsia="Calibri" w:hAnsi="Calibri"/>
                <w:b/>
                <w:bCs/>
                <w:i w:val="false"/>
                <w:iCs w:val="false"/>
                <w:color w:val="0D7C7B"/>
                <w:sz w:val="19"/>
                <w:szCs w:val="19"/>
              </w:rPr>
              <w:t xml:space="preserve">Meaning: </w:t>
            </w:r>
            <w:r>
              <w:rPr>
                <w:rFonts w:ascii="Calibri" w:cs="Calibri" w:eastAsia="Calibri" w:hAnsi="Calibri"/>
                <w:b w:val="false"/>
                <w:bCs w:val="false"/>
                <w:i w:val="false"/>
                <w:iCs w:val="false"/>
                <w:color w:val="000000"/>
                <w:sz w:val="19"/>
                <w:szCs w:val="19"/>
              </w:rPr>
              <w:t xml:space="preserve">The LMP is the real-time price of electricity at a specific point on the grid, in dollars per megawatt-hour. Prices vary significantly by geography: during a hot summer afternoon, the LMP in Boston can be many times higher than the system-wide average, and during scarcity events, it can spike dramatically.</w:t>
            </w:r>
          </w:p>
          <w:p>
            <w:pPr>
              <w:spacing w:after="0" w:before="0" w:line="300" w:lineRule="auto"/>
              <w:jc w:val="left"/>
            </w:pPr>
            <w:r>
              <w:rPr>
                <w:rFonts w:ascii="Calibri" w:cs="Calibri" w:eastAsia="Calibri" w:hAnsi="Calibri"/>
                <w:b/>
                <w:bCs/>
                <w:i w:val="false"/>
                <w:iCs w:val="false"/>
                <w:color w:val="0D7C7B"/>
                <w:sz w:val="19"/>
                <w:szCs w:val="19"/>
              </w:rPr>
              <w:t xml:space="preserve">Purpose here: </w:t>
            </w:r>
            <w:r>
              <w:rPr>
                <w:rFonts w:ascii="Calibri" w:cs="Calibri" w:eastAsia="Calibri" w:hAnsi="Calibri"/>
                <w:b w:val="false"/>
                <w:bCs w:val="false"/>
                <w:i w:val="false"/>
                <w:iCs w:val="false"/>
                <w:color w:val="000000"/>
                <w:sz w:val="19"/>
                <w:szCs w:val="19"/>
              </w:rPr>
              <w:t xml:space="preserve">Using zone-specific LMP — the price at the actual location where a BESS connects — rather than a system-wide average is one of the most consequential decisions in project financial modeling. Both our sites sit in the NEMA pricing zone, which carries a consistent premium. Our tool uses location-specific LMP data, which is why the revenue projections are materially more accurate than standard early-stage developer analysis.</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The tool integrates ten data sources: ISO-NE for electricity pricing, Eversource and National Grid for grid hosting capacity, MassDOER for EJ population data and policy guidance, the National Renewable Energy Laboratory for battery cost benchmarks, and site-specific financial models as a validation source. </w:t>
      </w:r>
      <w:r>
        <w:rPr>
          <w:rFonts w:ascii="Calibri" w:cs="Calibri" w:eastAsia="Calibri" w:hAnsi="Calibri"/>
          <w:b/>
          <w:bCs/>
          <w:i w:val="false"/>
          <w:iCs w:val="false"/>
          <w:color w:val="000000"/>
          <w:sz w:val="21"/>
          <w:szCs w:val="21"/>
        </w:rPr>
        <w:t xml:space="preserve">Every source is publicly accessible.</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Three audiences served simultaneously: </w:t>
      </w:r>
      <w:r>
        <w:rPr>
          <w:rFonts w:ascii="Calibri" w:cs="Calibri" w:eastAsia="Calibri" w:hAnsi="Calibri"/>
          <w:b/>
          <w:bCs/>
          <w:i w:val="false"/>
          <w:iCs w:val="false"/>
          <w:color w:val="000000"/>
          <w:sz w:val="21"/>
          <w:szCs w:val="21"/>
        </w:rPr>
        <w:t xml:space="preserve">MassDOER policy staff</w:t>
      </w:r>
      <w:r>
        <w:rPr>
          <w:rFonts w:ascii="Calibri" w:cs="Calibri" w:eastAsia="Calibri" w:hAnsi="Calibri"/>
          <w:b w:val="false"/>
          <w:bCs w:val="false"/>
          <w:i w:val="false"/>
          <w:iCs w:val="false"/>
          <w:color w:val="000000"/>
          <w:sz w:val="21"/>
          <w:szCs w:val="21"/>
        </w:rPr>
        <w:t xml:space="preserve"> for procurement screening and goal tracking; </w:t>
      </w:r>
      <w:r>
        <w:rPr>
          <w:rFonts w:ascii="Calibri" w:cs="Calibri" w:eastAsia="Calibri" w:hAnsi="Calibri"/>
          <w:b/>
          <w:bCs/>
          <w:i w:val="false"/>
          <w:iCs w:val="false"/>
          <w:color w:val="000000"/>
          <w:sz w:val="21"/>
          <w:szCs w:val="21"/>
        </w:rPr>
        <w:t xml:space="preserve">private developers</w:t>
      </w:r>
      <w:r>
        <w:rPr>
          <w:rFonts w:ascii="Calibri" w:cs="Calibri" w:eastAsia="Calibri" w:hAnsi="Calibri"/>
          <w:b w:val="false"/>
          <w:bCs w:val="false"/>
          <w:i w:val="false"/>
          <w:iCs w:val="false"/>
          <w:color w:val="000000"/>
          <w:sz w:val="21"/>
          <w:szCs w:val="21"/>
        </w:rPr>
        <w:t xml:space="preserve"> to score sites before committing acquisition capital; and </w:t>
      </w:r>
      <w:r>
        <w:rPr>
          <w:rFonts w:ascii="Calibri" w:cs="Calibri" w:eastAsia="Calibri" w:hAnsi="Calibri"/>
          <w:b/>
          <w:bCs/>
          <w:i w:val="false"/>
          <w:iCs w:val="false"/>
          <w:color w:val="000000"/>
          <w:sz w:val="21"/>
          <w:szCs w:val="21"/>
        </w:rPr>
        <w:t xml:space="preserve">community stakeholders</w:t>
      </w:r>
      <w:r>
        <w:rPr>
          <w:rFonts w:ascii="Calibri" w:cs="Calibri" w:eastAsia="Calibri" w:hAnsi="Calibri"/>
          <w:b w:val="false"/>
          <w:bCs w:val="false"/>
          <w:i w:val="false"/>
          <w:iCs w:val="false"/>
          <w:color w:val="000000"/>
          <w:sz w:val="21"/>
          <w:szCs w:val="21"/>
        </w:rPr>
        <w:t xml:space="preserve"> to access EJ burden data, CIA trigger flags, and host community agreement benchmarks. </w:t>
      </w:r>
      <w:r>
        <w:rPr>
          <w:rFonts w:ascii="Calibri" w:cs="Calibri" w:eastAsia="Calibri" w:hAnsi="Calibri"/>
          <w:b/>
          <w:bCs/>
          <w:i w:val="false"/>
          <w:iCs w:val="false"/>
          <w:color w:val="000000"/>
          <w:sz w:val="21"/>
          <w:szCs w:val="21"/>
        </w:rPr>
        <w:t xml:space="preserve">One tool — three entry points, all at once.</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E2040" w:sz="8" w:space="0"/>
        </w:pBdr>
        <w:spacing w:after="0" w:before="0" w:line="276" w:lineRule="auto"/>
        <w:ind w:left="160"/>
      </w:pPr>
      <w:r>
        <w:rPr>
          <w:rFonts w:ascii="Calibri" w:cs="Calibri" w:eastAsia="Calibri" w:hAnsi="Calibri"/>
          <w:b/>
          <w:bCs/>
          <w:color w:val="0E2040"/>
          <w:sz w:val="18"/>
          <w:szCs w:val="18"/>
        </w:rPr>
        <w:t xml:space="preserve">TRANSITION: </w:t>
      </w:r>
      <w:r>
        <w:rPr>
          <w:rFonts w:ascii="Calibri" w:cs="Calibri" w:eastAsia="Calibri" w:hAnsi="Calibri"/>
          <w:i/>
          <w:iCs/>
          <w:color w:val="333333"/>
          <w:sz w:val="18"/>
          <w:szCs w:val="18"/>
        </w:rPr>
        <w:t xml:space="preserve">Advance to Slide 7.</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A83D28"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7</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30 sec  ·  Half 1</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EJ Screening — Layer 1</w:t>
            </w:r>
          </w:p>
          <w:p>
            <w:pPr>
              <w:spacing w:after="0" w:before="0" w:line="300" w:lineRule="auto"/>
              <w:jc w:val="left"/>
            </w:pPr>
            <w:r>
              <w:rPr>
                <w:rFonts w:ascii="Calibri" w:cs="Calibri" w:eastAsia="Calibri" w:hAnsi="Calibri"/>
                <w:b/>
                <w:bCs/>
                <w:i w:val="false"/>
                <w:iCs w:val="false"/>
                <w:color w:val="A83D28"/>
                <w:sz w:val="19"/>
                <w:szCs w:val="19"/>
              </w:rPr>
              <w:t xml:space="preserve">Main point: </w:t>
            </w:r>
            <w:r>
              <w:rPr>
                <w:rFonts w:ascii="Calibri" w:cs="Calibri" w:eastAsia="Calibri" w:hAnsi="Calibri"/>
                <w:b w:val="false"/>
                <w:bCs w:val="false"/>
                <w:i/>
                <w:iCs/>
                <w:color w:val="000000"/>
                <w:sz w:val="19"/>
                <w:szCs w:val="19"/>
              </w:rPr>
              <w:t xml:space="preserve">Every city in the study area is EJ-designated. The CIA is legally mandatory. The tool makes compliance automatic.</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As of March 2026, every new BESS project in an EJ community must complete a CIA before the state issues a permit. </w:t>
      </w:r>
      <w:r>
        <w:rPr>
          <w:rFonts w:ascii="Calibri" w:cs="Calibri" w:eastAsia="Calibri" w:hAnsi="Calibri"/>
          <w:b/>
          <w:bCs/>
          <w:i w:val="false"/>
          <w:iCs w:val="false"/>
          <w:color w:val="000000"/>
          <w:sz w:val="21"/>
          <w:szCs w:val="21"/>
        </w:rPr>
        <w:t xml:space="preserve">Massachusetts is the first state in the country to require this for clean energy infrastructure.</w:t>
      </w:r>
      <w:r>
        <w:rPr>
          <w:rFonts w:ascii="Calibri" w:cs="Calibri" w:eastAsia="Calibri" w:hAnsi="Calibri"/>
          <w:b w:val="false"/>
          <w:bCs w:val="false"/>
          <w:i w:val="false"/>
          <w:iCs w:val="false"/>
          <w:color w:val="000000"/>
          <w:sz w:val="21"/>
          <w:szCs w:val="21"/>
        </w:rPr>
        <w:t xml:space="preserve"> That is a landmark legal shift affecting every site in our study area.</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Every municipality — all thirteen — meets at least one EJ designation criterion. </w:t>
      </w:r>
      <w:r>
        <w:rPr>
          <w:rFonts w:ascii="Calibri" w:cs="Calibri" w:eastAsia="Calibri" w:hAnsi="Calibri"/>
          <w:b/>
          <w:bCs/>
          <w:i w:val="false"/>
          <w:iCs w:val="false"/>
          <w:color w:val="000000"/>
          <w:sz w:val="21"/>
          <w:szCs w:val="21"/>
        </w:rPr>
        <w:t xml:space="preserve">Chelsea and East Boston carry the highest energy burdens: 8.1 and 9.2 percent of household income goes to electricity and heating costs — more than twice the state average.</w:t>
      </w:r>
      <w:r>
        <w:rPr>
          <w:rFonts w:ascii="Calibri" w:cs="Calibri" w:eastAsia="Calibri" w:hAnsi="Calibri"/>
          <w:b w:val="false"/>
          <w:bCs w:val="false"/>
          <w:i w:val="false"/>
          <w:iCs w:val="false"/>
          <w:color w:val="000000"/>
          <w:sz w:val="21"/>
          <w:szCs w:val="21"/>
        </w:rPr>
        <w:t xml:space="preserve"> A well-sited BESS project in these neighborhoods, done correctly, can actually reduce those costs by adding local grid capacity and competing against expensive peak-demand power sources.</w:t>
      </w:r>
    </w:p>
    <w:p>
      <w:pPr>
        <w:spacing w:after="100" w:before="0" w:line="300" w:lineRule="auto"/>
        <w:jc w:val="left"/>
      </w:pPr>
      <w:r>
        <w:rPr>
          <w:rFonts w:ascii="Calibri" w:cs="Calibri" w:eastAsia="Calibri" w:hAnsi="Calibri"/>
          <w:b/>
          <w:bCs/>
          <w:i w:val="false"/>
          <w:iCs w:val="false"/>
          <w:color w:val="000000"/>
          <w:sz w:val="21"/>
          <w:szCs w:val="21"/>
        </w:rPr>
        <w:t xml:space="preserve">Our tool screens for all four EJ designation criteria automatically, for every candidate site, before any other layer runs. The CIA compliance framework is generated as part of the output. You cannot accidentally skip it.</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A83D28" w:sz="8" w:space="0"/>
        </w:pBdr>
        <w:spacing w:after="0" w:before="0" w:line="276" w:lineRule="auto"/>
        <w:ind w:left="160"/>
      </w:pPr>
      <w:r>
        <w:rPr>
          <w:rFonts w:ascii="Calibri" w:cs="Calibri" w:eastAsia="Calibri" w:hAnsi="Calibri"/>
          <w:b/>
          <w:bCs/>
          <w:color w:val="A83D28"/>
          <w:sz w:val="18"/>
          <w:szCs w:val="18"/>
        </w:rPr>
        <w:t xml:space="preserve">TRANSITION: </w:t>
      </w:r>
      <w:r>
        <w:rPr>
          <w:rFonts w:ascii="Calibri" w:cs="Calibri" w:eastAsia="Calibri" w:hAnsi="Calibri"/>
          <w:i/>
          <w:iCs/>
          <w:color w:val="333333"/>
          <w:sz w:val="18"/>
          <w:szCs w:val="18"/>
        </w:rPr>
        <w:t xml:space="preserve">Advance to Slide 8. This is the pivot into the tool's most operationally critical finding.</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D7C7B"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8</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40 sec  ·  Half 1</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Grid Feasibility &amp; Zoning — Layers 2 &amp; 3</w:t>
            </w:r>
          </w:p>
          <w:p>
            <w:pPr>
              <w:spacing w:after="0" w:before="0" w:line="300" w:lineRule="auto"/>
              <w:jc w:val="left"/>
            </w:pPr>
            <w:r>
              <w:rPr>
                <w:rFonts w:ascii="Calibri" w:cs="Calibri" w:eastAsia="Calibri" w:hAnsi="Calibri"/>
                <w:b/>
                <w:bCs/>
                <w:i w:val="false"/>
                <w:iCs w:val="false"/>
                <w:color w:val="0D7C7B"/>
                <w:sz w:val="19"/>
                <w:szCs w:val="19"/>
              </w:rPr>
              <w:t xml:space="preserve">Main point: </w:t>
            </w:r>
            <w:r>
              <w:rPr>
                <w:rFonts w:ascii="Calibri" w:cs="Calibri" w:eastAsia="Calibri" w:hAnsi="Calibri"/>
                <w:b w:val="false"/>
                <w:bCs w:val="false"/>
                <w:i/>
                <w:iCs/>
                <w:color w:val="000000"/>
                <w:sz w:val="19"/>
                <w:szCs w:val="19"/>
              </w:rPr>
              <w:t xml:space="preserve">The grid — not the land — determines project scale. Interconnection costs of $2M or $12M define the investment profile before anything else.</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bCs/>
          <w:i w:val="false"/>
          <w:iCs w:val="false"/>
          <w:color w:val="000000"/>
          <w:sz w:val="21"/>
          <w:szCs w:val="21"/>
        </w:rPr>
        <w:t xml:space="preserve">Slide 8 closes the first half and sets everything up.</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Layer Two is where site selection becomes financial modeling. The tool pulls hosting capacity data from Eversource's grid mapping system, National Grid's system data portal, and the federal Department of Energy's hosting capacity atlas. </w:t>
      </w:r>
      <w:r>
        <w:rPr>
          <w:rFonts w:ascii="Calibri" w:cs="Calibri" w:eastAsia="Calibri" w:hAnsi="Calibri"/>
          <w:b/>
          <w:bCs/>
          <w:i w:val="false"/>
          <w:iCs w:val="false"/>
          <w:color w:val="000000"/>
          <w:sz w:val="21"/>
          <w:szCs w:val="21"/>
        </w:rPr>
        <w:t xml:space="preserve">What the data confirmed — validated by our financial models — is that the circuit or substation sets the megawatt ceiling, not the parcel size.</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At 231 Beacham Street in Everett: the local distribution feeder supports a connection costing two million dollars, enabling fifteen megawatts. At 283 Eastern Avenue in Chelsea: a substation-level connection costs twelve million dollars but enables one hundred megawatts. </w:t>
      </w:r>
      <w:r>
        <w:rPr>
          <w:rFonts w:ascii="Calibri" w:cs="Calibri" w:eastAsia="Calibri" w:hAnsi="Calibri"/>
          <w:b/>
          <w:bCs/>
          <w:i w:val="false"/>
          <w:iCs w:val="false"/>
          <w:color w:val="000000"/>
          <w:sz w:val="21"/>
          <w:szCs w:val="21"/>
        </w:rPr>
        <w:t xml:space="preserve">That difference — fifteen megawatts versus one hundred — is the difference between a proof-of-concept project and an institutional-scale investment.</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0D7C7B" w:sz="14" w:space="0"/>
              <w:bottom w:val="none" w:color="FFFFFF" w:sz="0" w:space="0"/>
              <w:right w:val="none" w:color="FFFFFF" w:sz="0" w:space="0"/>
            </w:tcBorders>
            <w:shd w:fill="0D7C7B"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0D7C7B" w:sz="1" w:space="0"/>
              <w:left w:val="none" w:color="FFFFFF" w:sz="0" w:space="0"/>
              <w:bottom w:val="single" w:color="0D7C7B"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0D7C7B"/>
                <w:sz w:val="22"/>
                <w:szCs w:val="22"/>
              </w:rPr>
              <w:t xml:space="preserve">FCM / FCA</w:t>
            </w:r>
            <w:r>
              <w:rPr>
                <w:rFonts w:ascii="Calibri" w:cs="Calibri" w:eastAsia="Calibri" w:hAnsi="Calibri"/>
                <w:b w:val="false"/>
                <w:bCs w:val="false"/>
                <w:i/>
                <w:iCs/>
                <w:color w:val="000000"/>
                <w:sz w:val="20"/>
                <w:szCs w:val="20"/>
              </w:rPr>
              <w:t xml:space="preserve">  —  Forward Capacity Market / Forward Capacity Auction</w:t>
            </w:r>
          </w:p>
          <w:p>
            <w:pPr>
              <w:spacing w:after="30" w:before="0" w:line="300" w:lineRule="auto"/>
              <w:jc w:val="left"/>
            </w:pPr>
            <w:r>
              <w:rPr>
                <w:rFonts w:ascii="Calibri" w:cs="Calibri" w:eastAsia="Calibri" w:hAnsi="Calibri"/>
                <w:b/>
                <w:bCs/>
                <w:i w:val="false"/>
                <w:iCs w:val="false"/>
                <w:color w:val="0D7C7B"/>
                <w:sz w:val="19"/>
                <w:szCs w:val="19"/>
              </w:rPr>
              <w:t xml:space="preserve">Origin: </w:t>
            </w:r>
            <w:r>
              <w:rPr>
                <w:rFonts w:ascii="Calibri" w:cs="Calibri" w:eastAsia="Calibri" w:hAnsi="Calibri"/>
                <w:b w:val="false"/>
                <w:bCs w:val="false"/>
                <w:i w:val="false"/>
                <w:iCs w:val="false"/>
                <w:color w:val="000000"/>
                <w:sz w:val="19"/>
                <w:szCs w:val="19"/>
              </w:rPr>
              <w:t xml:space="preserve">Established by ISO-NE as a market mechanism to ensure the grid always has enough power-generating and power-storing resources available, even years in advance.</w:t>
            </w:r>
          </w:p>
          <w:p>
            <w:pPr>
              <w:spacing w:after="30" w:before="0" w:line="300" w:lineRule="auto"/>
              <w:jc w:val="left"/>
            </w:pPr>
            <w:r>
              <w:rPr>
                <w:rFonts w:ascii="Calibri" w:cs="Calibri" w:eastAsia="Calibri" w:hAnsi="Calibri"/>
                <w:b/>
                <w:bCs/>
                <w:i w:val="false"/>
                <w:iCs w:val="false"/>
                <w:color w:val="0D7C7B"/>
                <w:sz w:val="19"/>
                <w:szCs w:val="19"/>
              </w:rPr>
              <w:t xml:space="preserve">Meaning: </w:t>
            </w:r>
            <w:r>
              <w:rPr>
                <w:rFonts w:ascii="Calibri" w:cs="Calibri" w:eastAsia="Calibri" w:hAnsi="Calibri"/>
                <w:b w:val="false"/>
                <w:bCs w:val="false"/>
                <w:i w:val="false"/>
                <w:iCs w:val="false"/>
                <w:color w:val="000000"/>
                <w:sz w:val="19"/>
                <w:szCs w:val="19"/>
              </w:rPr>
              <w:t xml:space="preserve">The FCM is a system in which power generators and storage projects are paid to commit to being available at a future point — typically three years ahead. The auction through which this commitment is bought and sold is the FCA. Think of it as a reservation system: the grid operator pays projects in advance to guarantee they will show up when needed. For a BESS, FCM payments are a crucial second income stream on top of energy trading — the project is paid simply for existing and being reliably available.</w:t>
            </w:r>
          </w:p>
          <w:p>
            <w:pPr>
              <w:spacing w:after="0" w:before="0" w:line="300" w:lineRule="auto"/>
              <w:jc w:val="left"/>
            </w:pPr>
            <w:r>
              <w:rPr>
                <w:rFonts w:ascii="Calibri" w:cs="Calibri" w:eastAsia="Calibri" w:hAnsi="Calibri"/>
                <w:b/>
                <w:bCs/>
                <w:i w:val="false"/>
                <w:iCs w:val="false"/>
                <w:color w:val="0D7C7B"/>
                <w:sz w:val="19"/>
                <w:szCs w:val="19"/>
              </w:rPr>
              <w:t xml:space="preserve">Purpose here: </w:t>
            </w:r>
            <w:r>
              <w:rPr>
                <w:rFonts w:ascii="Calibri" w:cs="Calibri" w:eastAsia="Calibri" w:hAnsi="Calibri"/>
                <w:b w:val="false"/>
                <w:bCs w:val="false"/>
                <w:i w:val="false"/>
                <w:iCs w:val="false"/>
                <w:color w:val="000000"/>
                <w:sz w:val="19"/>
                <w:szCs w:val="19"/>
              </w:rPr>
              <w:t xml:space="preserve">FCM revenue contributes approximately $31 to $48 per kilowatt per year to our project sites. It is predictable, near-contracted income, unlike energy trading revenues which fluctuate. Both sites sit in the SENE capacity zone, which in past auctions has cleared at a premium over the rest of the ISO-NE grid.</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C68A17" w:sz="14" w:space="0"/>
              <w:bottom w:val="none" w:color="FFFFFF" w:sz="0" w:space="0"/>
              <w:right w:val="none" w:color="FFFFFF" w:sz="0" w:space="0"/>
            </w:tcBorders>
            <w:shd w:fill="C68A17"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C68A17" w:sz="1" w:space="0"/>
              <w:left w:val="none" w:color="FFFFFF" w:sz="0" w:space="0"/>
              <w:bottom w:val="single" w:color="C68A17"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C68A17"/>
                <w:sz w:val="22"/>
                <w:szCs w:val="22"/>
              </w:rPr>
              <w:t xml:space="preserve">CPS / CPEC</w:t>
            </w:r>
            <w:r>
              <w:rPr>
                <w:rFonts w:ascii="Calibri" w:cs="Calibri" w:eastAsia="Calibri" w:hAnsi="Calibri"/>
                <w:b w:val="false"/>
                <w:bCs w:val="false"/>
                <w:i/>
                <w:iCs/>
                <w:color w:val="000000"/>
                <w:sz w:val="20"/>
                <w:szCs w:val="20"/>
              </w:rPr>
              <w:t xml:space="preserve">  —  Clean Peak Standard / Clean Peak Energy Certificate</w:t>
            </w:r>
          </w:p>
          <w:p>
            <w:pPr>
              <w:spacing w:after="30" w:before="0" w:line="300" w:lineRule="auto"/>
              <w:jc w:val="left"/>
            </w:pPr>
            <w:r>
              <w:rPr>
                <w:rFonts w:ascii="Calibri" w:cs="Calibri" w:eastAsia="Calibri" w:hAnsi="Calibri"/>
                <w:b/>
                <w:bCs/>
                <w:i w:val="false"/>
                <w:iCs w:val="false"/>
                <w:color w:val="C68A17"/>
                <w:sz w:val="19"/>
                <w:szCs w:val="19"/>
              </w:rPr>
              <w:t xml:space="preserve">Origin: </w:t>
            </w:r>
            <w:r>
              <w:rPr>
                <w:rFonts w:ascii="Calibri" w:cs="Calibri" w:eastAsia="Calibri" w:hAnsi="Calibri"/>
                <w:b w:val="false"/>
                <w:bCs w:val="false"/>
                <w:i w:val="false"/>
                <w:iCs w:val="false"/>
                <w:color w:val="000000"/>
                <w:sz w:val="19"/>
                <w:szCs w:val="19"/>
              </w:rPr>
              <w:t xml:space="preserve">Established by the Massachusetts legislature and administered by MassDOER to incentivize clean energy delivery during periods of maximum electricity demand.</w:t>
            </w:r>
          </w:p>
          <w:p>
            <w:pPr>
              <w:spacing w:after="30" w:before="0" w:line="300" w:lineRule="auto"/>
              <w:jc w:val="left"/>
            </w:pPr>
            <w:r>
              <w:rPr>
                <w:rFonts w:ascii="Calibri" w:cs="Calibri" w:eastAsia="Calibri" w:hAnsi="Calibri"/>
                <w:b/>
                <w:bCs/>
                <w:i w:val="false"/>
                <w:iCs w:val="false"/>
                <w:color w:val="C68A17"/>
                <w:sz w:val="19"/>
                <w:szCs w:val="19"/>
              </w:rPr>
              <w:t xml:space="preserve">Meaning: </w:t>
            </w:r>
            <w:r>
              <w:rPr>
                <w:rFonts w:ascii="Calibri" w:cs="Calibri" w:eastAsia="Calibri" w:hAnsi="Calibri"/>
                <w:b w:val="false"/>
                <w:bCs w:val="false"/>
                <w:i w:val="false"/>
                <w:iCs w:val="false"/>
                <w:color w:val="000000"/>
                <w:sz w:val="19"/>
                <w:szCs w:val="19"/>
              </w:rPr>
              <w:t xml:space="preserve">The CPS requires electricity suppliers to procure a minimum amount of power from clean sources specifically during peak demand periods — when the grid is most stressed and prices are highest. Projects delivering clean power during those moments earn CPECs, which are sold as an additional revenue stream. For a BESS, this is particularly valuable because batteries can be timed precisely to discharge at peak moments.</w:t>
            </w:r>
          </w:p>
          <w:p>
            <w:pPr>
              <w:spacing w:after="0" w:before="0" w:line="300" w:lineRule="auto"/>
              <w:jc w:val="left"/>
            </w:pPr>
            <w:r>
              <w:rPr>
                <w:rFonts w:ascii="Calibri" w:cs="Calibri" w:eastAsia="Calibri" w:hAnsi="Calibri"/>
                <w:b/>
                <w:bCs/>
                <w:i w:val="false"/>
                <w:iCs w:val="false"/>
                <w:color w:val="C68A17"/>
                <w:sz w:val="19"/>
                <w:szCs w:val="19"/>
              </w:rPr>
              <w:t xml:space="preserve">Purpose here: </w:t>
            </w:r>
            <w:r>
              <w:rPr>
                <w:rFonts w:ascii="Calibri" w:cs="Calibri" w:eastAsia="Calibri" w:hAnsi="Calibri"/>
                <w:b w:val="false"/>
                <w:bCs w:val="false"/>
                <w:i w:val="false"/>
                <w:iCs w:val="false"/>
                <w:color w:val="000000"/>
                <w:sz w:val="19"/>
                <w:szCs w:val="19"/>
              </w:rPr>
              <w:t xml:space="preserve">CPS revenue can multiply by up to twenty-five times during monthly system peak hours, making it one of the highest-value components in our financial models. Both project sites must participate in the CPS to reach their modeled revenue targets.</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val="false"/>
          <w:bCs w:val="false"/>
          <w:i w:val="false"/>
          <w:iCs w:val="false"/>
          <w:color w:val="000000"/>
          <w:sz w:val="21"/>
          <w:szCs w:val="21"/>
        </w:rPr>
        <w:t xml:space="preserve">On the zoning side: both sites carry industrial zoning and fifty-foot setbacks. Chelsea's 400-megawatt-hour project qualifies for EFSB sole jurisdiction — a single fifteen-month permit, no local veto. Every municipal BESS moratorium in Massachusetts has been struck down by the Attorney General. Neither county has one.</w:t>
      </w:r>
    </w:p>
    <w:p>
      <w:pPr>
        <w:spacing w:after="100" w:before="0" w:line="300" w:lineRule="auto"/>
        <w:jc w:val="left"/>
      </w:pPr>
      <w:r>
        <w:rPr>
          <w:rFonts w:ascii="Calibri" w:cs="Calibri" w:eastAsia="Calibri" w:hAnsi="Calibri"/>
          <w:b/>
          <w:bCs/>
          <w:i w:val="false"/>
          <w:iCs w:val="false"/>
          <w:color w:val="000000"/>
          <w:sz w:val="21"/>
          <w:szCs w:val="21"/>
        </w:rPr>
        <w:t xml:space="preserve">In the next five minutes, we will show you what the MCE scored for all thirteen cities, which two sites rose to the top, what the financial models say, and what it takes to make both investable.</w:t>
      </w:r>
      <w:r>
        <w:rPr>
          <w:rFonts w:ascii="Calibri" w:cs="Calibri" w:eastAsia="Calibri" w:hAnsi="Calibri"/>
          <w:b w:val="false"/>
          <w:bCs w:val="false"/>
          <w:i w:val="false"/>
          <w:iCs w:val="false"/>
          <w:color w:val="000000"/>
          <w:sz w:val="21"/>
          <w:szCs w:val="21"/>
        </w:rPr>
        <w:t xml:space="preserve"> The short answer: Chelsea is the stronger near-term investment. Everett is the highest-quality site but requires contracted revenue to reach investment-grade returns. Both need the long-term clean energy contracts Massachusetts created specifically for this purpose.</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top w:val="single" w:color="0E2040" w:sz="2" w:space="0"/>
          <w:bottom w:val="single" w:color="0E2040" w:sz="2" w:space="0"/>
        </w:pBdr>
        <w:shd w:fill="0E2040" w:color="auto" w:val="clear"/>
        <w:spacing w:after="0" w:before="0" w:line="288" w:lineRule="auto"/>
        <w:jc w:val="center"/>
      </w:pPr>
      <w:r>
        <w:rPr>
          <w:rFonts w:ascii="Calibri" w:cs="Calibri" w:eastAsia="Calibri" w:hAnsi="Calibri"/>
          <w:b/>
          <w:bCs/>
          <w:i w:val="false"/>
          <w:iCs w:val="false"/>
          <w:color w:val="FFFFFF"/>
          <w:sz w:val="19"/>
          <w:szCs w:val="19"/>
        </w:rPr>
        <w:t xml:space="preserve">[ HARD STOP — END OF FIRST HALF — 5 MINUTES ]</w:t>
      </w:r>
    </w:p>
    <w:p>
      <w:pPr>
        <w:spacing w:after="0" w:before="20" w:line="288" w:lineRule="auto"/>
        <w:jc w:val="center"/>
      </w:pPr>
      <w:r>
        <w:rPr>
          <w:rFonts w:ascii="Calibri" w:cs="Calibri" w:eastAsia="Calibri" w:hAnsi="Calibri"/>
          <w:b w:val="false"/>
          <w:bCs w:val="false"/>
          <w:i/>
          <w:iCs/>
          <w:color w:val="444444"/>
          <w:sz w:val="17"/>
          <w:szCs w:val="17"/>
        </w:rPr>
        <w:t xml:space="preserve">Pause, acknowledge the break if co-presenting, advance to Slide 9.</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000000" w:sz="6" w:space="0"/>
        </w:pBdr>
        <w:spacing w:after="80" w:before="80"/>
      </w:pPr>
      <w:r>
        <w:rPr>
          <w:rFonts w:ascii="Calibri" w:cs="Calibri" w:eastAsia="Calibri" w:hAnsi="Calibri"/>
          <w:b w:val="false"/>
          <w:bCs w:val="false"/>
          <w:i w:val="false"/>
          <w:iCs w:val="false"/>
          <w:color w:val="000000"/>
          <w:sz w:val="4"/>
          <w:szCs w:val="4"/>
        </w:rPr>
        <w:t xml:space="preserve"/>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0E2040" w:sz="6" w:space="2"/>
        </w:pBdr>
        <w:spacing w:after="40" w:before="0" w:line="288" w:lineRule="auto"/>
        <w:jc w:val="left"/>
      </w:pPr>
      <w:r>
        <w:rPr>
          <w:rFonts w:ascii="Calibri" w:cs="Calibri" w:eastAsia="Calibri" w:hAnsi="Calibri"/>
          <w:b/>
          <w:bCs/>
          <w:i w:val="false"/>
          <w:iCs w:val="false"/>
          <w:color w:val="0E2040"/>
          <w:sz w:val="22"/>
          <w:szCs w:val="22"/>
        </w:rPr>
        <w:t xml:space="preserve">SECOND HALF — SLIDES 9–19  ·  5 MINUTES</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E2040"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9</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35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Physical Feasibility &amp; Revenue Modeling — Layers 4 &amp; 5</w:t>
            </w:r>
          </w:p>
          <w:p>
            <w:pPr>
              <w:spacing w:after="0" w:before="0" w:line="300" w:lineRule="auto"/>
              <w:jc w:val="left"/>
            </w:pPr>
            <w:r>
              <w:rPr>
                <w:rFonts w:ascii="Calibri" w:cs="Calibri" w:eastAsia="Calibri" w:hAnsi="Calibri"/>
                <w:b/>
                <w:bCs/>
                <w:i w:val="false"/>
                <w:iCs w:val="false"/>
                <w:color w:val="0E2040"/>
                <w:sz w:val="19"/>
                <w:szCs w:val="19"/>
              </w:rPr>
              <w:t xml:space="preserve">Main point: </w:t>
            </w:r>
            <w:r>
              <w:rPr>
                <w:rFonts w:ascii="Calibri" w:cs="Calibri" w:eastAsia="Calibri" w:hAnsi="Calibri"/>
                <w:b w:val="false"/>
                <w:bCs w:val="false"/>
                <w:i/>
                <w:iCs/>
                <w:color w:val="000000"/>
                <w:sz w:val="19"/>
                <w:szCs w:val="19"/>
              </w:rPr>
              <w:t xml:space="preserve">Revenue stacking — not a single income source — is what makes a BESS project financially viable.</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Layer Four translates the grid ceiling from Layer Two into a physical site score. Layer Five models the full revenue stack. Let me explain what goes into that stack.</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2A6145" w:sz="14" w:space="0"/>
              <w:bottom w:val="none" w:color="FFFFFF" w:sz="0" w:space="0"/>
              <w:right w:val="none" w:color="FFFFFF" w:sz="0" w:space="0"/>
            </w:tcBorders>
            <w:shd w:fill="2A6145"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2A6145" w:sz="1" w:space="0"/>
              <w:left w:val="none" w:color="FFFFFF" w:sz="0" w:space="0"/>
              <w:bottom w:val="single" w:color="2A6145"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2A6145"/>
                <w:sz w:val="22"/>
                <w:szCs w:val="22"/>
              </w:rPr>
              <w:t xml:space="preserve">NREL</w:t>
            </w:r>
            <w:r>
              <w:rPr>
                <w:rFonts w:ascii="Calibri" w:cs="Calibri" w:eastAsia="Calibri" w:hAnsi="Calibri"/>
                <w:b w:val="false"/>
                <w:bCs w:val="false"/>
                <w:i/>
                <w:iCs/>
                <w:color w:val="000000"/>
                <w:sz w:val="20"/>
                <w:szCs w:val="20"/>
              </w:rPr>
              <w:t xml:space="preserve">  —  National Renewable Energy Laboratory</w:t>
            </w:r>
          </w:p>
          <w:p>
            <w:pPr>
              <w:spacing w:after="30" w:before="0" w:line="300" w:lineRule="auto"/>
              <w:jc w:val="left"/>
            </w:pPr>
            <w:r>
              <w:rPr>
                <w:rFonts w:ascii="Calibri" w:cs="Calibri" w:eastAsia="Calibri" w:hAnsi="Calibri"/>
                <w:b/>
                <w:bCs/>
                <w:i w:val="false"/>
                <w:iCs w:val="false"/>
                <w:color w:val="2A6145"/>
                <w:sz w:val="19"/>
                <w:szCs w:val="19"/>
              </w:rPr>
              <w:t xml:space="preserve">Origin: </w:t>
            </w:r>
            <w:r>
              <w:rPr>
                <w:rFonts w:ascii="Calibri" w:cs="Calibri" w:eastAsia="Calibri" w:hAnsi="Calibri"/>
                <w:b w:val="false"/>
                <w:bCs w:val="false"/>
                <w:i w:val="false"/>
                <w:iCs w:val="false"/>
                <w:color w:val="000000"/>
                <w:sz w:val="19"/>
                <w:szCs w:val="19"/>
              </w:rPr>
              <w:t xml:space="preserve">A U.S. Department of Energy national laboratory headquartered in Golden, Colorado, established in 1974.</w:t>
            </w:r>
          </w:p>
          <w:p>
            <w:pPr>
              <w:spacing w:after="30" w:before="0" w:line="300" w:lineRule="auto"/>
              <w:jc w:val="left"/>
            </w:pPr>
            <w:r>
              <w:rPr>
                <w:rFonts w:ascii="Calibri" w:cs="Calibri" w:eastAsia="Calibri" w:hAnsi="Calibri"/>
                <w:b/>
                <w:bCs/>
                <w:i w:val="false"/>
                <w:iCs w:val="false"/>
                <w:color w:val="2A6145"/>
                <w:sz w:val="19"/>
                <w:szCs w:val="19"/>
              </w:rPr>
              <w:t xml:space="preserve">Meaning: </w:t>
            </w:r>
            <w:r>
              <w:rPr>
                <w:rFonts w:ascii="Calibri" w:cs="Calibri" w:eastAsia="Calibri" w:hAnsi="Calibri"/>
                <w:b w:val="false"/>
                <w:bCs w:val="false"/>
                <w:i w:val="false"/>
                <w:iCs w:val="false"/>
                <w:color w:val="000000"/>
                <w:sz w:val="19"/>
                <w:szCs w:val="19"/>
              </w:rPr>
              <w:t xml:space="preserve">NREL is the country's primary research institution for renewable energy and energy efficiency. It publishes annual cost benchmarks for solar, wind, battery storage, and other clean energy technologies that are widely used by developers, regulators, and researchers worldwide.</w:t>
            </w:r>
          </w:p>
          <w:p>
            <w:pPr>
              <w:spacing w:after="0" w:before="0" w:line="300" w:lineRule="auto"/>
              <w:jc w:val="left"/>
            </w:pPr>
            <w:r>
              <w:rPr>
                <w:rFonts w:ascii="Calibri" w:cs="Calibri" w:eastAsia="Calibri" w:hAnsi="Calibri"/>
                <w:b/>
                <w:bCs/>
                <w:i w:val="false"/>
                <w:iCs w:val="false"/>
                <w:color w:val="2A6145"/>
                <w:sz w:val="19"/>
                <w:szCs w:val="19"/>
              </w:rPr>
              <w:t xml:space="preserve">Purpose here: </w:t>
            </w:r>
            <w:r>
              <w:rPr>
                <w:rFonts w:ascii="Calibri" w:cs="Calibri" w:eastAsia="Calibri" w:hAnsi="Calibri"/>
                <w:b w:val="false"/>
                <w:bCs w:val="false"/>
                <w:i w:val="false"/>
                <w:iCs w:val="false"/>
                <w:color w:val="000000"/>
                <w:sz w:val="19"/>
                <w:szCs w:val="19"/>
              </w:rPr>
              <w:t xml:space="preserve">We use NREL's 2024 Annual Technology Baseline for battery cost data, specifically the installed cost benchmark of $334 per kilowatt-hour for a four-hour lithium iron phosphate system. Our financial models negotiated below this benchmark: $300 per kilowatt-hour for Everett and $280 per kilowatt-hour for Chelsea at larger scale.</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C68A17" w:sz="14" w:space="0"/>
              <w:bottom w:val="none" w:color="FFFFFF" w:sz="0" w:space="0"/>
              <w:right w:val="none" w:color="FFFFFF" w:sz="0" w:space="0"/>
            </w:tcBorders>
            <w:shd w:fill="C68A17"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C68A17" w:sz="1" w:space="0"/>
              <w:left w:val="none" w:color="FFFFFF" w:sz="0" w:space="0"/>
              <w:bottom w:val="single" w:color="C68A17"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C68A17"/>
                <w:sz w:val="22"/>
                <w:szCs w:val="22"/>
              </w:rPr>
              <w:t xml:space="preserve">ITC</w:t>
            </w:r>
            <w:r>
              <w:rPr>
                <w:rFonts w:ascii="Calibri" w:cs="Calibri" w:eastAsia="Calibri" w:hAnsi="Calibri"/>
                <w:b w:val="false"/>
                <w:bCs w:val="false"/>
                <w:i/>
                <w:iCs/>
                <w:color w:val="000000"/>
                <w:sz w:val="20"/>
                <w:szCs w:val="20"/>
              </w:rPr>
              <w:t xml:space="preserve">  —  Investment Tax Credit</w:t>
            </w:r>
          </w:p>
          <w:p>
            <w:pPr>
              <w:spacing w:after="30" w:before="0" w:line="300" w:lineRule="auto"/>
              <w:jc w:val="left"/>
            </w:pPr>
            <w:r>
              <w:rPr>
                <w:rFonts w:ascii="Calibri" w:cs="Calibri" w:eastAsia="Calibri" w:hAnsi="Calibri"/>
                <w:b/>
                <w:bCs/>
                <w:i w:val="false"/>
                <w:iCs w:val="false"/>
                <w:color w:val="C68A17"/>
                <w:sz w:val="19"/>
                <w:szCs w:val="19"/>
              </w:rPr>
              <w:t xml:space="preserve">Origin: </w:t>
            </w:r>
            <w:r>
              <w:rPr>
                <w:rFonts w:ascii="Calibri" w:cs="Calibri" w:eastAsia="Calibri" w:hAnsi="Calibri"/>
                <w:b w:val="false"/>
                <w:bCs w:val="false"/>
                <w:i w:val="false"/>
                <w:iCs w:val="false"/>
                <w:color w:val="000000"/>
                <w:sz w:val="19"/>
                <w:szCs w:val="19"/>
              </w:rPr>
              <w:t xml:space="preserve">A provision of the U.S. federal tax code, most recently expanded under the Inflation Reduction Act of 2022 and the One Big Beautiful Bill Act of July 2025.</w:t>
            </w:r>
          </w:p>
          <w:p>
            <w:pPr>
              <w:spacing w:after="30" w:before="0" w:line="300" w:lineRule="auto"/>
              <w:jc w:val="left"/>
            </w:pPr>
            <w:r>
              <w:rPr>
                <w:rFonts w:ascii="Calibri" w:cs="Calibri" w:eastAsia="Calibri" w:hAnsi="Calibri"/>
                <w:b/>
                <w:bCs/>
                <w:i w:val="false"/>
                <w:iCs w:val="false"/>
                <w:color w:val="C68A17"/>
                <w:sz w:val="19"/>
                <w:szCs w:val="19"/>
              </w:rPr>
              <w:t xml:space="preserve">Meaning: </w:t>
            </w:r>
            <w:r>
              <w:rPr>
                <w:rFonts w:ascii="Calibri" w:cs="Calibri" w:eastAsia="Calibri" w:hAnsi="Calibri"/>
                <w:b w:val="false"/>
                <w:bCs w:val="false"/>
                <w:i w:val="false"/>
                <w:iCs w:val="false"/>
                <w:color w:val="000000"/>
                <w:sz w:val="19"/>
                <w:szCs w:val="19"/>
              </w:rPr>
              <w:t xml:space="preserve">The ITC is a dollar-for-dollar reduction in federal income taxes equal to a percentage of the cost of a qualifying clean energy project. For a BESS, the base credit is 30% of project cost — but additional bonuses are available for projects built using domestic components, located in economically distressed areas, or serving low-income communities, stacking up to as high as 70%.</w:t>
            </w:r>
          </w:p>
          <w:p>
            <w:pPr>
              <w:spacing w:after="0" w:before="0" w:line="300" w:lineRule="auto"/>
              <w:jc w:val="left"/>
            </w:pPr>
            <w:r>
              <w:rPr>
                <w:rFonts w:ascii="Calibri" w:cs="Calibri" w:eastAsia="Calibri" w:hAnsi="Calibri"/>
                <w:b/>
                <w:bCs/>
                <w:i w:val="false"/>
                <w:iCs w:val="false"/>
                <w:color w:val="C68A17"/>
                <w:sz w:val="19"/>
                <w:szCs w:val="19"/>
              </w:rPr>
              <w:t xml:space="preserve">Purpose here: </w:t>
            </w:r>
            <w:r>
              <w:rPr>
                <w:rFonts w:ascii="Calibri" w:cs="Calibri" w:eastAsia="Calibri" w:hAnsi="Calibri"/>
                <w:b w:val="false"/>
                <w:bCs w:val="false"/>
                <w:i w:val="false"/>
                <w:iCs w:val="false"/>
                <w:color w:val="000000"/>
                <w:sz w:val="19"/>
                <w:szCs w:val="19"/>
              </w:rPr>
              <w:t xml:space="preserve">Both our project sites qualify for a 40% ITC: the base 30% Prevailing Wage and Apprenticeship credit plus a 10% Domestic Content bonus. At 40% ITC, Everett's $25.1M gross capital cost falls to $15.1M net; Chelsea's $144M falls to $86.4M. The ITC is the single largest factor improving project economics after revenue. Achieving higher tiers — 50% or beyond — requires additional qualification that carries execution risk.</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2A6145" w:sz="14" w:space="0"/>
              <w:bottom w:val="none" w:color="FFFFFF" w:sz="0" w:space="0"/>
              <w:right w:val="none" w:color="FFFFFF" w:sz="0" w:space="0"/>
            </w:tcBorders>
            <w:shd w:fill="2A6145"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2A6145" w:sz="1" w:space="0"/>
              <w:left w:val="none" w:color="FFFFFF" w:sz="0" w:space="0"/>
              <w:bottom w:val="single" w:color="2A6145"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2A6145"/>
                <w:sz w:val="22"/>
                <w:szCs w:val="22"/>
              </w:rPr>
              <w:t xml:space="preserve">SMART</w:t>
            </w:r>
            <w:r>
              <w:rPr>
                <w:rFonts w:ascii="Calibri" w:cs="Calibri" w:eastAsia="Calibri" w:hAnsi="Calibri"/>
                <w:b w:val="false"/>
                <w:bCs w:val="false"/>
                <w:i/>
                <w:iCs/>
                <w:color w:val="000000"/>
                <w:sz w:val="20"/>
                <w:szCs w:val="20"/>
              </w:rPr>
              <w:t xml:space="preserve">  —  Solar Massachusetts Renewable Target</w:t>
            </w:r>
          </w:p>
          <w:p>
            <w:pPr>
              <w:spacing w:after="30" w:before="0" w:line="300" w:lineRule="auto"/>
              <w:jc w:val="left"/>
            </w:pPr>
            <w:r>
              <w:rPr>
                <w:rFonts w:ascii="Calibri" w:cs="Calibri" w:eastAsia="Calibri" w:hAnsi="Calibri"/>
                <w:b/>
                <w:bCs/>
                <w:i w:val="false"/>
                <w:iCs w:val="false"/>
                <w:color w:val="2A6145"/>
                <w:sz w:val="19"/>
                <w:szCs w:val="19"/>
              </w:rPr>
              <w:t xml:space="preserve">Origin: </w:t>
            </w:r>
            <w:r>
              <w:rPr>
                <w:rFonts w:ascii="Calibri" w:cs="Calibri" w:eastAsia="Calibri" w:hAnsi="Calibri"/>
                <w:b w:val="false"/>
                <w:bCs w:val="false"/>
                <w:i w:val="false"/>
                <w:iCs w:val="false"/>
                <w:color w:val="000000"/>
                <w:sz w:val="19"/>
                <w:szCs w:val="19"/>
              </w:rPr>
              <w:t xml:space="preserve">Established by MassDOER under the Green Communities Act as a declining-block incentive program. Despite the word 'Solar' in its name, SMART has been extended to cover battery storage paired with solar generation.</w:t>
            </w:r>
          </w:p>
          <w:p>
            <w:pPr>
              <w:spacing w:after="30" w:before="0" w:line="300" w:lineRule="auto"/>
              <w:jc w:val="left"/>
            </w:pPr>
            <w:r>
              <w:rPr>
                <w:rFonts w:ascii="Calibri" w:cs="Calibri" w:eastAsia="Calibri" w:hAnsi="Calibri"/>
                <w:b/>
                <w:bCs/>
                <w:i w:val="false"/>
                <w:iCs w:val="false"/>
                <w:color w:val="2A6145"/>
                <w:sz w:val="19"/>
                <w:szCs w:val="19"/>
              </w:rPr>
              <w:t xml:space="preserve">Meaning: </w:t>
            </w:r>
            <w:r>
              <w:rPr>
                <w:rFonts w:ascii="Calibri" w:cs="Calibri" w:eastAsia="Calibri" w:hAnsi="Calibri"/>
                <w:b w:val="false"/>
                <w:bCs w:val="false"/>
                <w:i w:val="false"/>
                <w:iCs w:val="false"/>
                <w:color w:val="000000"/>
                <w:sz w:val="19"/>
                <w:szCs w:val="19"/>
              </w:rPr>
              <w:t xml:space="preserve">SMART provides a fixed per-kilowatt-hour payment to qualifying clean energy projects over ten years, on top of whatever the project earns from market revenues. For a BESS, the adder is available for systems that meet minimum cycling requirements — approximately fifty-two full discharge cycles per year.</w:t>
            </w:r>
          </w:p>
          <w:p>
            <w:pPr>
              <w:spacing w:after="0" w:before="0" w:line="300" w:lineRule="auto"/>
              <w:jc w:val="left"/>
            </w:pPr>
            <w:r>
              <w:rPr>
                <w:rFonts w:ascii="Calibri" w:cs="Calibri" w:eastAsia="Calibri" w:hAnsi="Calibri"/>
                <w:b/>
                <w:bCs/>
                <w:i w:val="false"/>
                <w:iCs w:val="false"/>
                <w:color w:val="2A6145"/>
                <w:sz w:val="19"/>
                <w:szCs w:val="19"/>
              </w:rPr>
              <w:t xml:space="preserve">Purpose here: </w:t>
            </w:r>
            <w:r>
              <w:rPr>
                <w:rFonts w:ascii="Calibri" w:cs="Calibri" w:eastAsia="Calibri" w:hAnsi="Calibri"/>
                <w:b w:val="false"/>
                <w:bCs w:val="false"/>
                <w:i w:val="false"/>
                <w:iCs w:val="false"/>
                <w:color w:val="000000"/>
                <w:sz w:val="19"/>
                <w:szCs w:val="19"/>
              </w:rPr>
              <w:t xml:space="preserve">SMART adds approximately $10 to $25 per kilowatt per year to the revenue stack for qualifying BESS projects in our study area. It is a relatively modest component but is predictable and contractual, which helps with project financing.</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0D7C7B" w:sz="14" w:space="0"/>
              <w:bottom w:val="none" w:color="FFFFFF" w:sz="0" w:space="0"/>
              <w:right w:val="none" w:color="FFFFFF" w:sz="0" w:space="0"/>
            </w:tcBorders>
            <w:shd w:fill="0D7C7B"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0D7C7B" w:sz="1" w:space="0"/>
              <w:left w:val="none" w:color="FFFFFF" w:sz="0" w:space="0"/>
              <w:bottom w:val="single" w:color="0D7C7B"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0D7C7B"/>
                <w:sz w:val="22"/>
                <w:szCs w:val="22"/>
              </w:rPr>
              <w:t xml:space="preserve">SENE</w:t>
            </w:r>
            <w:r>
              <w:rPr>
                <w:rFonts w:ascii="Calibri" w:cs="Calibri" w:eastAsia="Calibri" w:hAnsi="Calibri"/>
                <w:b w:val="false"/>
                <w:bCs w:val="false"/>
                <w:i/>
                <w:iCs/>
                <w:color w:val="000000"/>
                <w:sz w:val="20"/>
                <w:szCs w:val="20"/>
              </w:rPr>
              <w:t xml:space="preserve">  —  Southeast New England Capacity Zone</w:t>
            </w:r>
          </w:p>
          <w:p>
            <w:pPr>
              <w:spacing w:after="30" w:before="0" w:line="300" w:lineRule="auto"/>
              <w:jc w:val="left"/>
            </w:pPr>
            <w:r>
              <w:rPr>
                <w:rFonts w:ascii="Calibri" w:cs="Calibri" w:eastAsia="Calibri" w:hAnsi="Calibri"/>
                <w:b/>
                <w:bCs/>
                <w:i w:val="false"/>
                <w:iCs w:val="false"/>
                <w:color w:val="0D7C7B"/>
                <w:sz w:val="19"/>
                <w:szCs w:val="19"/>
              </w:rPr>
              <w:t xml:space="preserve">Origin: </w:t>
            </w:r>
            <w:r>
              <w:rPr>
                <w:rFonts w:ascii="Calibri" w:cs="Calibri" w:eastAsia="Calibri" w:hAnsi="Calibri"/>
                <w:b w:val="false"/>
                <w:bCs w:val="false"/>
                <w:i w:val="false"/>
                <w:iCs w:val="false"/>
                <w:color w:val="000000"/>
                <w:sz w:val="19"/>
                <w:szCs w:val="19"/>
              </w:rPr>
              <w:t xml:space="preserve">A geographic sub-region of the ISO-NE Forward Capacity Market, designated because its grid infrastructure creates different supply-demand dynamics from the rest of New England.</w:t>
            </w:r>
          </w:p>
          <w:p>
            <w:pPr>
              <w:spacing w:after="30" w:before="0" w:line="300" w:lineRule="auto"/>
              <w:jc w:val="left"/>
            </w:pPr>
            <w:r>
              <w:rPr>
                <w:rFonts w:ascii="Calibri" w:cs="Calibri" w:eastAsia="Calibri" w:hAnsi="Calibri"/>
                <w:b/>
                <w:bCs/>
                <w:i w:val="false"/>
                <w:iCs w:val="false"/>
                <w:color w:val="0D7C7B"/>
                <w:sz w:val="19"/>
                <w:szCs w:val="19"/>
              </w:rPr>
              <w:t xml:space="preserve">Meaning: </w:t>
            </w:r>
            <w:r>
              <w:rPr>
                <w:rFonts w:ascii="Calibri" w:cs="Calibri" w:eastAsia="Calibri" w:hAnsi="Calibri"/>
                <w:b w:val="false"/>
                <w:bCs w:val="false"/>
                <w:i w:val="false"/>
                <w:iCs w:val="false"/>
                <w:color w:val="000000"/>
                <w:sz w:val="19"/>
                <w:szCs w:val="19"/>
              </w:rPr>
              <w:t xml:space="preserve">SENE is the ISO-NE capacity zone covering most of eastern Massachusetts, including Suffolk and Middlesex Counties. Capacity zones are used in the FCM to ensure that power is not just available somewhere in New England, but specifically in the areas where it is most needed. Projects in SENE have historically cleared the FCA at a premium over the rest-of-pool price.</w:t>
            </w:r>
          </w:p>
          <w:p>
            <w:pPr>
              <w:spacing w:after="0" w:before="0" w:line="300" w:lineRule="auto"/>
              <w:jc w:val="left"/>
            </w:pPr>
            <w:r>
              <w:rPr>
                <w:rFonts w:ascii="Calibri" w:cs="Calibri" w:eastAsia="Calibri" w:hAnsi="Calibri"/>
                <w:b/>
                <w:bCs/>
                <w:i w:val="false"/>
                <w:iCs w:val="false"/>
                <w:color w:val="0D7C7B"/>
                <w:sz w:val="19"/>
                <w:szCs w:val="19"/>
              </w:rPr>
              <w:t xml:space="preserve">Purpose here: </w:t>
            </w:r>
            <w:r>
              <w:rPr>
                <w:rFonts w:ascii="Calibri" w:cs="Calibri" w:eastAsia="Calibri" w:hAnsi="Calibri"/>
                <w:b w:val="false"/>
                <w:bCs w:val="false"/>
                <w:i w:val="false"/>
                <w:iCs w:val="false"/>
                <w:color w:val="000000"/>
                <w:sz w:val="19"/>
                <w:szCs w:val="19"/>
              </w:rPr>
              <w:t xml:space="preserve">Both 231 Beacham Street in Everett and 283 Eastern Avenue in Chelsea sit in the SENE zone, which means their FCM capacity payments may be higher than projects located in less constrained areas of the ISO-NE grid. This is a material revenue advantage that our tool captures by using zone-specific data.</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The full revenue stack for a four-hour BESS in our study area ranges from $90 to $170 per kilowatt per year, combining energy trading at the LMP, FCM capacity payments in the SENE zone, CPS certificates, SMART adder payments, and ITC-reduced capital cost. </w:t>
      </w:r>
      <w:r>
        <w:rPr>
          <w:rFonts w:ascii="Calibri" w:cs="Calibri" w:eastAsia="Calibri" w:hAnsi="Calibri"/>
          <w:b/>
          <w:bCs/>
          <w:i w:val="false"/>
          <w:iCs w:val="false"/>
          <w:color w:val="000000"/>
          <w:sz w:val="21"/>
          <w:szCs w:val="21"/>
        </w:rPr>
        <w:t xml:space="preserve">Both financial models use a base case of $130 per kilowatt per year — a conservative, realistic figure confirmed by current ISO-NE market conditions.</w:t>
      </w:r>
    </w:p>
    <w:p>
      <w:pPr>
        <w:spacing w:after="100" w:before="0" w:line="300" w:lineRule="auto"/>
        <w:jc w:val="left"/>
      </w:pPr>
      <w:r>
        <w:rPr>
          <w:rFonts w:ascii="Calibri" w:cs="Calibri" w:eastAsia="Calibri" w:hAnsi="Calibri"/>
          <w:b/>
          <w:bCs/>
          <w:i w:val="false"/>
          <w:iCs w:val="false"/>
          <w:color w:val="000000"/>
          <w:sz w:val="21"/>
          <w:szCs w:val="21"/>
        </w:rPr>
        <w:t xml:space="preserve">Neither project is investable on a purely merchant basis at that revenue level without contracted revenue support. That is the most important financial finding, and it drives the next steps.</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E2040" w:sz="8" w:space="0"/>
        </w:pBdr>
        <w:spacing w:after="0" w:before="0" w:line="276" w:lineRule="auto"/>
        <w:ind w:left="160"/>
      </w:pPr>
      <w:r>
        <w:rPr>
          <w:rFonts w:ascii="Calibri" w:cs="Calibri" w:eastAsia="Calibri" w:hAnsi="Calibri"/>
          <w:b/>
          <w:bCs/>
          <w:color w:val="0E2040"/>
          <w:sz w:val="18"/>
          <w:szCs w:val="18"/>
        </w:rPr>
        <w:t xml:space="preserve">TRANSITION: </w:t>
      </w:r>
      <w:r>
        <w:rPr>
          <w:rFonts w:ascii="Calibri" w:cs="Calibri" w:eastAsia="Calibri" w:hAnsi="Calibri"/>
          <w:i/>
          <w:iCs/>
          <w:color w:val="333333"/>
          <w:sz w:val="18"/>
          <w:szCs w:val="18"/>
        </w:rPr>
        <w:t xml:space="preserve">Advance to Slide 10.</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D7C7B"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10</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25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Composite Siting Scores — All 13 Municipalities</w:t>
            </w:r>
          </w:p>
          <w:p>
            <w:pPr>
              <w:spacing w:after="0" w:before="0" w:line="300" w:lineRule="auto"/>
              <w:jc w:val="left"/>
            </w:pPr>
            <w:r>
              <w:rPr>
                <w:rFonts w:ascii="Calibri" w:cs="Calibri" w:eastAsia="Calibri" w:hAnsi="Calibri"/>
                <w:b/>
                <w:bCs/>
                <w:i w:val="false"/>
                <w:iCs w:val="false"/>
                <w:color w:val="0D7C7B"/>
                <w:sz w:val="19"/>
                <w:szCs w:val="19"/>
              </w:rPr>
              <w:t xml:space="preserve">Main point: </w:t>
            </w:r>
            <w:r>
              <w:rPr>
                <w:rFonts w:ascii="Calibri" w:cs="Calibri" w:eastAsia="Calibri" w:hAnsi="Calibri"/>
                <w:b w:val="false"/>
                <w:bCs w:val="false"/>
                <w:i/>
                <w:iCs/>
                <w:color w:val="000000"/>
                <w:sz w:val="19"/>
                <w:szCs w:val="19"/>
              </w:rPr>
              <w:t xml:space="preserve">The MCE output is unambiguous: Everett and Chelsea are decisively top-ranked, separated from the rest of the field.</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This chart shows the MCE composite scores for all thirteen municipalities. Five layers, twenty-five points each, one hundred twenty-five maximum. </w:t>
      </w:r>
      <w:r>
        <w:rPr>
          <w:rFonts w:ascii="Calibri" w:cs="Calibri" w:eastAsia="Calibri" w:hAnsi="Calibri"/>
          <w:b/>
          <w:bCs/>
          <w:i w:val="false"/>
          <w:iCs w:val="false"/>
          <w:color w:val="000000"/>
          <w:sz w:val="21"/>
          <w:szCs w:val="21"/>
        </w:rPr>
        <w:t xml:space="preserve">Everett scores 119 out of 125 — a 95.2% composite. Chelsea scores 113 out of 125.</w:t>
      </w:r>
      <w:r>
        <w:rPr>
          <w:rFonts w:ascii="Calibri" w:cs="Calibri" w:eastAsia="Calibri" w:hAnsi="Calibri"/>
          <w:b w:val="false"/>
          <w:bCs w:val="false"/>
          <w:i w:val="false"/>
          <w:iCs w:val="false"/>
          <w:color w:val="000000"/>
          <w:sz w:val="21"/>
          <w:szCs w:val="21"/>
        </w:rPr>
        <w:t xml:space="preserve"> There is a clear gap between these two and the next tier.</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Note the footnote: a high composite score does not automatically equal a better investment. </w:t>
      </w:r>
      <w:r>
        <w:rPr>
          <w:rFonts w:ascii="Calibri" w:cs="Calibri" w:eastAsia="Calibri" w:hAnsi="Calibri"/>
          <w:b/>
          <w:bCs/>
          <w:i w:val="false"/>
          <w:iCs w:val="false"/>
          <w:color w:val="000000"/>
          <w:sz w:val="21"/>
          <w:szCs w:val="21"/>
        </w:rPr>
        <w:t xml:space="preserve">Chelsea, which scores second, is the stronger near-term investment because it is the larger project with a positive NPV at base revenue assumptions.</w:t>
      </w:r>
      <w:r>
        <w:rPr>
          <w:rFonts w:ascii="Calibri" w:cs="Calibri" w:eastAsia="Calibri" w:hAnsi="Calibri"/>
          <w:b w:val="false"/>
          <w:bCs w:val="false"/>
          <w:i w:val="false"/>
          <w:iCs w:val="false"/>
          <w:color w:val="000000"/>
          <w:sz w:val="21"/>
          <w:szCs w:val="21"/>
        </w:rPr>
        <w:t xml:space="preserve"> Everett scores highest because it has the best-quality site profile across all five dimensions — but requires contracted revenue to unlock viability. We will explain both fully on the next two slides.</w:t>
      </w:r>
    </w:p>
    <w:p>
      <w:pPr>
        <w:pBdr>
          <w:left w:val="single" w:color="C68A17" w:sz="8" w:space="0"/>
        </w:pBdr>
        <w:shd w:fill="FFF9E6" w:color="auto" w:val="clear"/>
        <w:spacing w:after="40" w:before="40" w:line="276" w:lineRule="auto"/>
        <w:ind w:left="160"/>
      </w:pPr>
      <w:r>
        <w:rPr>
          <w:rFonts w:ascii="Calibri" w:cs="Calibri" w:eastAsia="Calibri" w:hAnsi="Calibri"/>
          <w:b w:val="false"/>
          <w:bCs w:val="false"/>
          <w:i/>
          <w:iCs/>
          <w:color w:val="7A5A00"/>
          <w:sz w:val="18"/>
          <w:szCs w:val="18"/>
        </w:rPr>
        <w:t xml:space="preserve">▶  PRESENTER NOTE: NPV has not been defined yet. You can say 'positive net present value — meaning the project earns more than it costs over its lifetime.' The formal definition comes on Slide 12.</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D7C7B" w:sz="8" w:space="0"/>
        </w:pBdr>
        <w:spacing w:after="0" w:before="0" w:line="276" w:lineRule="auto"/>
        <w:ind w:left="160"/>
      </w:pPr>
      <w:r>
        <w:rPr>
          <w:rFonts w:ascii="Calibri" w:cs="Calibri" w:eastAsia="Calibri" w:hAnsi="Calibri"/>
          <w:b/>
          <w:bCs/>
          <w:color w:val="0D7C7B"/>
          <w:sz w:val="18"/>
          <w:szCs w:val="18"/>
        </w:rPr>
        <w:t xml:space="preserve">TRANSITION: </w:t>
      </w:r>
      <w:r>
        <w:rPr>
          <w:rFonts w:ascii="Calibri" w:cs="Calibri" w:eastAsia="Calibri" w:hAnsi="Calibri"/>
          <w:i/>
          <w:iCs/>
          <w:color w:val="333333"/>
          <w:sz w:val="18"/>
          <w:szCs w:val="18"/>
        </w:rPr>
        <w:t xml:space="preserve">Advance to Slide 11.</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A83D28"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11</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35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Suffolk vs. Middlesex — County &amp; Site Comparison</w:t>
            </w:r>
          </w:p>
          <w:p>
            <w:pPr>
              <w:spacing w:after="0" w:before="0" w:line="300" w:lineRule="auto"/>
              <w:jc w:val="left"/>
            </w:pPr>
            <w:r>
              <w:rPr>
                <w:rFonts w:ascii="Calibri" w:cs="Calibri" w:eastAsia="Calibri" w:hAnsi="Calibri"/>
                <w:b/>
                <w:bCs/>
                <w:i w:val="false"/>
                <w:iCs w:val="false"/>
                <w:color w:val="A83D28"/>
                <w:sz w:val="19"/>
                <w:szCs w:val="19"/>
              </w:rPr>
              <w:t xml:space="preserve">Main point: </w:t>
            </w:r>
            <w:r>
              <w:rPr>
                <w:rFonts w:ascii="Calibri" w:cs="Calibri" w:eastAsia="Calibri" w:hAnsi="Calibri"/>
                <w:b w:val="false"/>
                <w:bCs w:val="false"/>
                <w:i/>
                <w:iCs/>
                <w:color w:val="000000"/>
                <w:sz w:val="19"/>
                <w:szCs w:val="19"/>
              </w:rPr>
              <w:t xml:space="preserve">The tool evaluated 13 cities across two counties. The comparison reveals why Chelsea and Everett dominate — and what their constraints are.</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Suffolk County contains four municipalities — all EJ-designated, all served by Eversource, all in the SENE zone. Its selected site is 283 Eastern Avenue in Chelsea, scoring 113 out of 125.</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Middlesex County contains nine municipalities — also all EJ-designated, served by both Eversource and National Grid, spanning both the NEMA and SENE pricing zones. Its selected site is 231 Beacham Street in Everett, scoring 119 out of 125.</w:t>
      </w:r>
    </w:p>
    <w:p>
      <w:pPr>
        <w:spacing w:after="100" w:before="0" w:line="300" w:lineRule="auto"/>
        <w:jc w:val="left"/>
      </w:pPr>
      <w:r>
        <w:rPr>
          <w:rFonts w:ascii="Calibri" w:cs="Calibri" w:eastAsia="Calibri" w:hAnsi="Calibri"/>
          <w:b/>
          <w:bCs/>
          <w:i w:val="false"/>
          <w:iCs w:val="false"/>
          <w:color w:val="000000"/>
          <w:sz w:val="21"/>
          <w:szCs w:val="21"/>
        </w:rPr>
        <w:t xml:space="preserve">Chelsea's five strengths: highest EJ urgency with 8.1% energy burden; largest project in the study at 100 megawatts and 400 megawatt-hours; the only site with a positive financial return at base revenue; 400 megawatt-hours triggering the EFSB permitting path; and $86.4 million net capital cost after ITC.</w:t>
      </w:r>
    </w:p>
    <w:p>
      <w:pPr>
        <w:spacing w:after="100" w:before="0" w:line="300" w:lineRule="auto"/>
        <w:jc w:val="left"/>
      </w:pPr>
      <w:r>
        <w:rPr>
          <w:rFonts w:ascii="Calibri" w:cs="Calibri" w:eastAsia="Calibri" w:hAnsi="Calibri"/>
          <w:b/>
          <w:bCs/>
          <w:i w:val="false"/>
          <w:iCs w:val="false"/>
          <w:color w:val="000000"/>
          <w:sz w:val="21"/>
          <w:szCs w:val="21"/>
        </w:rPr>
        <w:t xml:space="preserve">Everett's five strengths: highest composite score at 119 of 125; lowest capital cost at $25.1 million gross and $15.1 million net; perfect grid score with 0.2 miles to a 345-kilovolt substation; lowest interconnection cost at $2 million; and the strongest zoning protection in the study.</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Bottom of the slide: Chelsea's primary constraint is the $12 million interconnection cost. Everett's is negative financial return at merchant revenue levels. </w:t>
      </w:r>
      <w:r>
        <w:rPr>
          <w:rFonts w:ascii="Calibri" w:cs="Calibri" w:eastAsia="Calibri" w:hAnsi="Calibri"/>
          <w:b/>
          <w:bCs/>
          <w:i w:val="false"/>
          <w:iCs w:val="false"/>
          <w:color w:val="000000"/>
          <w:sz w:val="21"/>
          <w:szCs w:val="21"/>
        </w:rPr>
        <w:t xml:space="preserve">A high MCE score identifies the best site quality. Investment viability requires contracted revenue on top of that quality.</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A83D28" w:sz="8" w:space="0"/>
        </w:pBdr>
        <w:spacing w:after="0" w:before="0" w:line="276" w:lineRule="auto"/>
        <w:ind w:left="160"/>
      </w:pPr>
      <w:r>
        <w:rPr>
          <w:rFonts w:ascii="Calibri" w:cs="Calibri" w:eastAsia="Calibri" w:hAnsi="Calibri"/>
          <w:b/>
          <w:bCs/>
          <w:color w:val="A83D28"/>
          <w:sz w:val="18"/>
          <w:szCs w:val="18"/>
        </w:rPr>
        <w:t xml:space="preserve">TRANSITION: </w:t>
      </w:r>
      <w:r>
        <w:rPr>
          <w:rFonts w:ascii="Calibri" w:cs="Calibri" w:eastAsia="Calibri" w:hAnsi="Calibri"/>
          <w:i/>
          <w:iCs/>
          <w:color w:val="333333"/>
          <w:sz w:val="18"/>
          <w:szCs w:val="18"/>
        </w:rPr>
        <w:t xml:space="preserve">Advance to Slide 12. Draw attention to the yellow border.</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D7C7B"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12</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35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Site Selection #1 — 231 Beacham Street, Everett</w:t>
            </w:r>
          </w:p>
          <w:p>
            <w:pPr>
              <w:spacing w:after="0" w:before="0" w:line="300" w:lineRule="auto"/>
              <w:jc w:val="left"/>
            </w:pPr>
            <w:r>
              <w:rPr>
                <w:rFonts w:ascii="Calibri" w:cs="Calibri" w:eastAsia="Calibri" w:hAnsi="Calibri"/>
                <w:b/>
                <w:bCs/>
                <w:i w:val="false"/>
                <w:iCs w:val="false"/>
                <w:color w:val="0D7C7B"/>
                <w:sz w:val="19"/>
                <w:szCs w:val="19"/>
              </w:rPr>
              <w:t xml:space="preserve">Main point: </w:t>
            </w:r>
            <w:r>
              <w:rPr>
                <w:rFonts w:ascii="Calibri" w:cs="Calibri" w:eastAsia="Calibri" w:hAnsi="Calibri"/>
                <w:b w:val="false"/>
                <w:bCs w:val="false"/>
                <w:i/>
                <w:iCs/>
                <w:color w:val="000000"/>
                <w:sz w:val="19"/>
                <w:szCs w:val="19"/>
              </w:rPr>
              <w:t xml:space="preserve">Everett scores highest across all five layers. The financial model shows why it needs contracted revenue to be investable.</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pBdr>
          <w:left w:val="single" w:color="C68A17" w:sz="8" w:space="0"/>
        </w:pBdr>
        <w:shd w:fill="FFF9E6" w:color="auto" w:val="clear"/>
        <w:spacing w:after="40" w:before="40" w:line="276" w:lineRule="auto"/>
        <w:ind w:left="160"/>
      </w:pPr>
      <w:r>
        <w:rPr>
          <w:rFonts w:ascii="Calibri" w:cs="Calibri" w:eastAsia="Calibri" w:hAnsi="Calibri"/>
          <w:b w:val="false"/>
          <w:bCs w:val="false"/>
          <w:i/>
          <w:iCs/>
          <w:color w:val="7A5A00"/>
          <w:sz w:val="18"/>
          <w:szCs w:val="18"/>
        </w:rPr>
        <w:t xml:space="preserve">▶  PRESENTER NOTE: PAUSE here. Say: 'What you see highlighted on the left in yellow is what the tool produced — the MCE scoring. What you see on the right is what the financial model confirmed.'</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231 Beacham Street, Everett. </w:t>
      </w:r>
      <w:r>
        <w:rPr>
          <w:rFonts w:ascii="Calibri" w:cs="Calibri" w:eastAsia="Calibri" w:hAnsi="Calibri"/>
          <w:b/>
          <w:bCs/>
          <w:i w:val="false"/>
          <w:iCs w:val="false"/>
          <w:color w:val="000000"/>
          <w:sz w:val="21"/>
          <w:szCs w:val="21"/>
        </w:rPr>
        <w:t xml:space="preserve">MCE score: 119 out of 125.</w:t>
      </w:r>
      <w:r>
        <w:rPr>
          <w:rFonts w:ascii="Calibri" w:cs="Calibri" w:eastAsia="Calibri" w:hAnsi="Calibri"/>
          <w:b w:val="false"/>
          <w:bCs w:val="false"/>
          <w:i w:val="false"/>
          <w:iCs w:val="false"/>
          <w:color w:val="000000"/>
          <w:sz w:val="21"/>
          <w:szCs w:val="21"/>
        </w:rPr>
        <w:t xml:space="preserve"> I-2 heavy industrial zoning. Former brownfield parcel. 0.2 miles to the Eversource Mystic 345-kilovolt substation — the highest-capacity grid connection point in our study area. The tool scores it twenty-five out of twenty-five for both EJ compliance and grid feasibility.</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3A5278" w:sz="14" w:space="0"/>
              <w:bottom w:val="none" w:color="FFFFFF" w:sz="0" w:space="0"/>
              <w:right w:val="none" w:color="FFFFFF" w:sz="0" w:space="0"/>
            </w:tcBorders>
            <w:shd w:fill="3A5278"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3A5278" w:sz="1" w:space="0"/>
              <w:left w:val="none" w:color="FFFFFF" w:sz="0" w:space="0"/>
              <w:bottom w:val="single" w:color="3A5278"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3A5278"/>
                <w:sz w:val="22"/>
                <w:szCs w:val="22"/>
              </w:rPr>
              <w:t xml:space="preserve">CAPEX</w:t>
            </w:r>
            <w:r>
              <w:rPr>
                <w:rFonts w:ascii="Calibri" w:cs="Calibri" w:eastAsia="Calibri" w:hAnsi="Calibri"/>
                <w:b w:val="false"/>
                <w:bCs w:val="false"/>
                <w:i/>
                <w:iCs/>
                <w:color w:val="000000"/>
                <w:sz w:val="20"/>
                <w:szCs w:val="20"/>
              </w:rPr>
              <w:t xml:space="preserve">  —  Capital Expenditure</w:t>
            </w:r>
          </w:p>
          <w:p>
            <w:pPr>
              <w:spacing w:after="30" w:before="0" w:line="300" w:lineRule="auto"/>
              <w:jc w:val="left"/>
            </w:pPr>
            <w:r>
              <w:rPr>
                <w:rFonts w:ascii="Calibri" w:cs="Calibri" w:eastAsia="Calibri" w:hAnsi="Calibri"/>
                <w:b/>
                <w:bCs/>
                <w:i w:val="false"/>
                <w:iCs w:val="false"/>
                <w:color w:val="3A5278"/>
                <w:sz w:val="19"/>
                <w:szCs w:val="19"/>
              </w:rPr>
              <w:t xml:space="preserve">Origin: </w:t>
            </w:r>
            <w:r>
              <w:rPr>
                <w:rFonts w:ascii="Calibri" w:cs="Calibri" w:eastAsia="Calibri" w:hAnsi="Calibri"/>
                <w:b w:val="false"/>
                <w:bCs w:val="false"/>
                <w:i w:val="false"/>
                <w:iCs w:val="false"/>
                <w:color w:val="000000"/>
                <w:sz w:val="19"/>
                <w:szCs w:val="19"/>
              </w:rPr>
              <w:t xml:space="preserve">Standard financial and accounting terminology used across all industries to describe upfront investment spending.</w:t>
            </w:r>
          </w:p>
          <w:p>
            <w:pPr>
              <w:spacing w:after="30" w:before="0" w:line="300" w:lineRule="auto"/>
              <w:jc w:val="left"/>
            </w:pPr>
            <w:r>
              <w:rPr>
                <w:rFonts w:ascii="Calibri" w:cs="Calibri" w:eastAsia="Calibri" w:hAnsi="Calibri"/>
                <w:b/>
                <w:bCs/>
                <w:i w:val="false"/>
                <w:iCs w:val="false"/>
                <w:color w:val="3A5278"/>
                <w:sz w:val="19"/>
                <w:szCs w:val="19"/>
              </w:rPr>
              <w:t xml:space="preserve">Meaning: </w:t>
            </w:r>
            <w:r>
              <w:rPr>
                <w:rFonts w:ascii="Calibri" w:cs="Calibri" w:eastAsia="Calibri" w:hAnsi="Calibri"/>
                <w:b w:val="false"/>
                <w:bCs w:val="false"/>
                <w:i w:val="false"/>
                <w:iCs w:val="false"/>
                <w:color w:val="000000"/>
                <w:sz w:val="19"/>
                <w:szCs w:val="19"/>
              </w:rPr>
              <w:t xml:space="preserve">CAPEX refers to the money spent to acquire, build, or improve a long-term physical asset — in this case, the battery storage system, interconnection infrastructure, land, construction, and development costs. It is the money that must be committed before the project earns a single dollar of revenue.</w:t>
            </w:r>
          </w:p>
          <w:p>
            <w:pPr>
              <w:spacing w:after="0" w:before="0" w:line="300" w:lineRule="auto"/>
              <w:jc w:val="left"/>
            </w:pPr>
            <w:r>
              <w:rPr>
                <w:rFonts w:ascii="Calibri" w:cs="Calibri" w:eastAsia="Calibri" w:hAnsi="Calibri"/>
                <w:b/>
                <w:bCs/>
                <w:i w:val="false"/>
                <w:iCs w:val="false"/>
                <w:color w:val="3A5278"/>
                <w:sz w:val="19"/>
                <w:szCs w:val="19"/>
              </w:rPr>
              <w:t xml:space="preserve">Purpose here: </w:t>
            </w:r>
            <w:r>
              <w:rPr>
                <w:rFonts w:ascii="Calibri" w:cs="Calibri" w:eastAsia="Calibri" w:hAnsi="Calibri"/>
                <w:b w:val="false"/>
                <w:bCs w:val="false"/>
                <w:i w:val="false"/>
                <w:iCs w:val="false"/>
                <w:color w:val="000000"/>
                <w:sz w:val="19"/>
                <w:szCs w:val="19"/>
              </w:rPr>
              <w:t xml:space="preserve">The Everett project's gross CAPEX is $25,130,000 — the total upfront investment before any tax credit. After the 40% ITC, the net CAPEX is $15,078,000. This is the lowest capital requirement of any site in our study, which makes it the most accessible entry point for a developer.</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3A5278" w:sz="14" w:space="0"/>
              <w:bottom w:val="none" w:color="FFFFFF" w:sz="0" w:space="0"/>
              <w:right w:val="none" w:color="FFFFFF" w:sz="0" w:space="0"/>
            </w:tcBorders>
            <w:shd w:fill="3A5278"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3A5278" w:sz="1" w:space="0"/>
              <w:left w:val="none" w:color="FFFFFF" w:sz="0" w:space="0"/>
              <w:bottom w:val="single" w:color="3A5278"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3A5278"/>
                <w:sz w:val="22"/>
                <w:szCs w:val="22"/>
              </w:rPr>
              <w:t xml:space="preserve">NPV</w:t>
            </w:r>
            <w:r>
              <w:rPr>
                <w:rFonts w:ascii="Calibri" w:cs="Calibri" w:eastAsia="Calibri" w:hAnsi="Calibri"/>
                <w:b w:val="false"/>
                <w:bCs w:val="false"/>
                <w:i/>
                <w:iCs/>
                <w:color w:val="000000"/>
                <w:sz w:val="20"/>
                <w:szCs w:val="20"/>
              </w:rPr>
              <w:t xml:space="preserve">  —  Net Present Value</w:t>
            </w:r>
          </w:p>
          <w:p>
            <w:pPr>
              <w:spacing w:after="30" w:before="0" w:line="300" w:lineRule="auto"/>
              <w:jc w:val="left"/>
            </w:pPr>
            <w:r>
              <w:rPr>
                <w:rFonts w:ascii="Calibri" w:cs="Calibri" w:eastAsia="Calibri" w:hAnsi="Calibri"/>
                <w:b/>
                <w:bCs/>
                <w:i w:val="false"/>
                <w:iCs w:val="false"/>
                <w:color w:val="3A5278"/>
                <w:sz w:val="19"/>
                <w:szCs w:val="19"/>
              </w:rPr>
              <w:t xml:space="preserve">Origin: </w:t>
            </w:r>
            <w:r>
              <w:rPr>
                <w:rFonts w:ascii="Calibri" w:cs="Calibri" w:eastAsia="Calibri" w:hAnsi="Calibri"/>
                <w:b w:val="false"/>
                <w:bCs w:val="false"/>
                <w:i w:val="false"/>
                <w:iCs w:val="false"/>
                <w:color w:val="000000"/>
                <w:sz w:val="19"/>
                <w:szCs w:val="19"/>
              </w:rPr>
              <w:t xml:space="preserve">A foundational concept in finance and investment analysis, standardized in corporate financial practice throughout the twentieth century.</w:t>
            </w:r>
          </w:p>
          <w:p>
            <w:pPr>
              <w:spacing w:after="30" w:before="0" w:line="300" w:lineRule="auto"/>
              <w:jc w:val="left"/>
            </w:pPr>
            <w:r>
              <w:rPr>
                <w:rFonts w:ascii="Calibri" w:cs="Calibri" w:eastAsia="Calibri" w:hAnsi="Calibri"/>
                <w:b/>
                <w:bCs/>
                <w:i w:val="false"/>
                <w:iCs w:val="false"/>
                <w:color w:val="3A5278"/>
                <w:sz w:val="19"/>
                <w:szCs w:val="19"/>
              </w:rPr>
              <w:t xml:space="preserve">Meaning: </w:t>
            </w:r>
            <w:r>
              <w:rPr>
                <w:rFonts w:ascii="Calibri" w:cs="Calibri" w:eastAsia="Calibri" w:hAnsi="Calibri"/>
                <w:b w:val="false"/>
                <w:bCs w:val="false"/>
                <w:i w:val="false"/>
                <w:iCs w:val="false"/>
                <w:color w:val="000000"/>
                <w:sz w:val="19"/>
                <w:szCs w:val="19"/>
              </w:rPr>
              <w:t xml:space="preserve">NPV is the total value of a project's future cash flows — all the revenue it will earn and all the costs it will incur — expressed in today's dollars. Because money earned in the future is worth less than money in hand today (due to inflation and opportunity cost), future cash flows are 'discounted' back to the present. A positive NPV means the project earns more than it costs over its lifetime. A negative NPV means the opposite.</w:t>
            </w:r>
          </w:p>
          <w:p>
            <w:pPr>
              <w:spacing w:after="0" w:before="0" w:line="300" w:lineRule="auto"/>
              <w:jc w:val="left"/>
            </w:pPr>
            <w:r>
              <w:rPr>
                <w:rFonts w:ascii="Calibri" w:cs="Calibri" w:eastAsia="Calibri" w:hAnsi="Calibri"/>
                <w:b/>
                <w:bCs/>
                <w:i w:val="false"/>
                <w:iCs w:val="false"/>
                <w:color w:val="3A5278"/>
                <w:sz w:val="19"/>
                <w:szCs w:val="19"/>
              </w:rPr>
              <w:t xml:space="preserve">Purpose here: </w:t>
            </w:r>
            <w:r>
              <w:rPr>
                <w:rFonts w:ascii="Calibri" w:cs="Calibri" w:eastAsia="Calibri" w:hAnsi="Calibri"/>
                <w:b w:val="false"/>
                <w:bCs w:val="false"/>
                <w:i w:val="false"/>
                <w:iCs w:val="false"/>
                <w:color w:val="000000"/>
                <w:sz w:val="19"/>
                <w:szCs w:val="19"/>
              </w:rPr>
              <w:t xml:space="preserve">At the base case revenue of $130 per kilowatt per year and an 8% discount rate, the Everett project produces an NPV of negative $2,198,134. That is a negative number — meaning at merchant revenue levels, this project costs more over its lifetime than it earns. It becomes viable only if revenue exceeds $150 per kilowatt per year or if ITC reaches 50%.</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3A5278" w:sz="14" w:space="0"/>
              <w:bottom w:val="none" w:color="FFFFFF" w:sz="0" w:space="0"/>
              <w:right w:val="none" w:color="FFFFFF" w:sz="0" w:space="0"/>
            </w:tcBorders>
            <w:shd w:fill="3A5278"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3A5278" w:sz="1" w:space="0"/>
              <w:left w:val="none" w:color="FFFFFF" w:sz="0" w:space="0"/>
              <w:bottom w:val="single" w:color="3A5278"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3A5278"/>
                <w:sz w:val="22"/>
                <w:szCs w:val="22"/>
              </w:rPr>
              <w:t xml:space="preserve">IRR</w:t>
            </w:r>
            <w:r>
              <w:rPr>
                <w:rFonts w:ascii="Calibri" w:cs="Calibri" w:eastAsia="Calibri" w:hAnsi="Calibri"/>
                <w:b w:val="false"/>
                <w:bCs w:val="false"/>
                <w:i/>
                <w:iCs/>
                <w:color w:val="000000"/>
                <w:sz w:val="20"/>
                <w:szCs w:val="20"/>
              </w:rPr>
              <w:t xml:space="preserve">  —  Internal Rate of Return</w:t>
            </w:r>
          </w:p>
          <w:p>
            <w:pPr>
              <w:spacing w:after="30" w:before="0" w:line="300" w:lineRule="auto"/>
              <w:jc w:val="left"/>
            </w:pPr>
            <w:r>
              <w:rPr>
                <w:rFonts w:ascii="Calibri" w:cs="Calibri" w:eastAsia="Calibri" w:hAnsi="Calibri"/>
                <w:b/>
                <w:bCs/>
                <w:i w:val="false"/>
                <w:iCs w:val="false"/>
                <w:color w:val="3A5278"/>
                <w:sz w:val="19"/>
                <w:szCs w:val="19"/>
              </w:rPr>
              <w:t xml:space="preserve">Origin: </w:t>
            </w:r>
            <w:r>
              <w:rPr>
                <w:rFonts w:ascii="Calibri" w:cs="Calibri" w:eastAsia="Calibri" w:hAnsi="Calibri"/>
                <w:b w:val="false"/>
                <w:bCs w:val="false"/>
                <w:i w:val="false"/>
                <w:iCs w:val="false"/>
                <w:color w:val="000000"/>
                <w:sz w:val="19"/>
                <w:szCs w:val="19"/>
              </w:rPr>
              <w:t xml:space="preserve">A standard investment analysis metric used across infrastructure, private equity, and real estate to compare the profitability of projects on a percentage basis.</w:t>
            </w:r>
          </w:p>
          <w:p>
            <w:pPr>
              <w:spacing w:after="30" w:before="0" w:line="300" w:lineRule="auto"/>
              <w:jc w:val="left"/>
            </w:pPr>
            <w:r>
              <w:rPr>
                <w:rFonts w:ascii="Calibri" w:cs="Calibri" w:eastAsia="Calibri" w:hAnsi="Calibri"/>
                <w:b/>
                <w:bCs/>
                <w:i w:val="false"/>
                <w:iCs w:val="false"/>
                <w:color w:val="3A5278"/>
                <w:sz w:val="19"/>
                <w:szCs w:val="19"/>
              </w:rPr>
              <w:t xml:space="preserve">Meaning: </w:t>
            </w:r>
            <w:r>
              <w:rPr>
                <w:rFonts w:ascii="Calibri" w:cs="Calibri" w:eastAsia="Calibri" w:hAnsi="Calibri"/>
                <w:b w:val="false"/>
                <w:bCs w:val="false"/>
                <w:i w:val="false"/>
                <w:iCs w:val="false"/>
                <w:color w:val="000000"/>
                <w:sz w:val="19"/>
                <w:szCs w:val="19"/>
              </w:rPr>
              <w:t xml:space="preserve">The IRR is the annualized rate of return a project generates over its lifetime — the discount rate at which NPV equals zero. A higher IRR means a more profitable investment relative to its cost. Institutional investors in infrastructure typically require an unlevered IRR of at least 8 to 10% to commit capital.</w:t>
            </w:r>
          </w:p>
          <w:p>
            <w:pPr>
              <w:spacing w:after="0" w:before="0" w:line="300" w:lineRule="auto"/>
              <w:jc w:val="left"/>
            </w:pPr>
            <w:r>
              <w:rPr>
                <w:rFonts w:ascii="Calibri" w:cs="Calibri" w:eastAsia="Calibri" w:hAnsi="Calibri"/>
                <w:b/>
                <w:bCs/>
                <w:i w:val="false"/>
                <w:iCs w:val="false"/>
                <w:color w:val="3A5278"/>
                <w:sz w:val="19"/>
                <w:szCs w:val="19"/>
              </w:rPr>
              <w:t xml:space="preserve">Purpose here: </w:t>
            </w:r>
            <w:r>
              <w:rPr>
                <w:rFonts w:ascii="Calibri" w:cs="Calibri" w:eastAsia="Calibri" w:hAnsi="Calibri"/>
                <w:b w:val="false"/>
                <w:bCs w:val="false"/>
                <w:i w:val="false"/>
                <w:iCs w:val="false"/>
                <w:color w:val="000000"/>
                <w:sz w:val="19"/>
                <w:szCs w:val="19"/>
              </w:rPr>
              <w:t xml:space="preserve">The Everett project's unlevered IRR is 5.93% at base revenue. That is below the 8% threshold typically required by infrastructure investors. Adding debt leverage and increasing revenue through contracted sales can push the effective equity IRR higher, but the fundamental economics require either a higher revenue floor or a better ITC outcome.</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bCs/>
          <w:i w:val="false"/>
          <w:iCs w:val="false"/>
          <w:color w:val="000000"/>
          <w:sz w:val="21"/>
          <w:szCs w:val="21"/>
        </w:rPr>
        <w:t xml:space="preserve">The investment verdict from the financial model: conditionally viable, not standalone investable.</w:t>
      </w:r>
      <w:r>
        <w:rPr>
          <w:rFonts w:ascii="Calibri" w:cs="Calibri" w:eastAsia="Calibri" w:hAnsi="Calibri"/>
          <w:b w:val="false"/>
          <w:bCs w:val="false"/>
          <w:i w:val="false"/>
          <w:iCs w:val="false"/>
          <w:color w:val="000000"/>
          <w:sz w:val="21"/>
          <w:szCs w:val="21"/>
        </w:rPr>
        <w:t xml:space="preserve"> At base merchant revenue, the NPV is negative and the IRR falls short of institutional thresholds. </w:t>
      </w:r>
      <w:r>
        <w:rPr>
          <w:rFonts w:ascii="Calibri" w:cs="Calibri" w:eastAsia="Calibri" w:hAnsi="Calibri"/>
          <w:b/>
          <w:bCs/>
          <w:i w:val="false"/>
          <w:iCs w:val="false"/>
          <w:color w:val="000000"/>
          <w:sz w:val="21"/>
          <w:szCs w:val="21"/>
        </w:rPr>
        <w:t xml:space="preserve">The path to viability runs through Section 83E contracted revenue — the state's long-term BESS procurement program — and confirmation of the 40% ITC.</w:t>
      </w:r>
      <w:r>
        <w:rPr>
          <w:rFonts w:ascii="Calibri" w:cs="Calibri" w:eastAsia="Calibri" w:hAnsi="Calibri"/>
          <w:b w:val="false"/>
          <w:bCs w:val="false"/>
          <w:i w:val="false"/>
          <w:iCs w:val="false"/>
          <w:color w:val="000000"/>
          <w:sz w:val="21"/>
          <w:szCs w:val="21"/>
        </w:rPr>
        <w:t xml:space="preserve"> We will discuss 83E on Slide 15.</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D7C7B" w:sz="8" w:space="0"/>
        </w:pBdr>
        <w:spacing w:after="0" w:before="0" w:line="276" w:lineRule="auto"/>
        <w:ind w:left="160"/>
      </w:pPr>
      <w:r>
        <w:rPr>
          <w:rFonts w:ascii="Calibri" w:cs="Calibri" w:eastAsia="Calibri" w:hAnsi="Calibri"/>
          <w:b/>
          <w:bCs/>
          <w:color w:val="0D7C7B"/>
          <w:sz w:val="18"/>
          <w:szCs w:val="18"/>
        </w:rPr>
        <w:t xml:space="preserve">TRANSITION: </w:t>
      </w:r>
      <w:r>
        <w:rPr>
          <w:rFonts w:ascii="Calibri" w:cs="Calibri" w:eastAsia="Calibri" w:hAnsi="Calibri"/>
          <w:i/>
          <w:iCs/>
          <w:color w:val="333333"/>
          <w:sz w:val="18"/>
          <w:szCs w:val="18"/>
        </w:rPr>
        <w:t xml:space="preserve">Advance to Slide 13. Draw attention to the yellow border.</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A83D28"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13</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30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Site Selection #2 — 283 Eastern Avenue, Chelsea</w:t>
            </w:r>
          </w:p>
          <w:p>
            <w:pPr>
              <w:spacing w:after="0" w:before="0" w:line="300" w:lineRule="auto"/>
              <w:jc w:val="left"/>
            </w:pPr>
            <w:r>
              <w:rPr>
                <w:rFonts w:ascii="Calibri" w:cs="Calibri" w:eastAsia="Calibri" w:hAnsi="Calibri"/>
                <w:b/>
                <w:bCs/>
                <w:i w:val="false"/>
                <w:iCs w:val="false"/>
                <w:color w:val="A83D28"/>
                <w:sz w:val="19"/>
                <w:szCs w:val="19"/>
              </w:rPr>
              <w:t xml:space="preserve">Main point: </w:t>
            </w:r>
            <w:r>
              <w:rPr>
                <w:rFonts w:ascii="Calibri" w:cs="Calibri" w:eastAsia="Calibri" w:hAnsi="Calibri"/>
                <w:b w:val="false"/>
                <w:bCs w:val="false"/>
                <w:i/>
                <w:iCs/>
                <w:color w:val="000000"/>
                <w:sz w:val="19"/>
                <w:szCs w:val="19"/>
              </w:rPr>
              <w:t xml:space="preserve">Chelsea is the larger, more viable investment: positive NPV, 8.84% IRR, and leverage upside to 12–15% equity return.</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pBdr>
          <w:left w:val="single" w:color="C68A17" w:sz="8" w:space="0"/>
        </w:pBdr>
        <w:shd w:fill="FFF9E6" w:color="auto" w:val="clear"/>
        <w:spacing w:after="40" w:before="40" w:line="276" w:lineRule="auto"/>
        <w:ind w:left="160"/>
      </w:pPr>
      <w:r>
        <w:rPr>
          <w:rFonts w:ascii="Calibri" w:cs="Calibri" w:eastAsia="Calibri" w:hAnsi="Calibri"/>
          <w:b w:val="false"/>
          <w:bCs w:val="false"/>
          <w:i/>
          <w:iCs/>
          <w:color w:val="7A5A00"/>
          <w:sz w:val="18"/>
          <w:szCs w:val="18"/>
        </w:rPr>
        <w:t xml:space="preserve">▶  PRESENTER NOTE: PAUSE here. Same instruction as Slide 12: yellow border = tool output on the left. Financial model confirmation on the right.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283 Eastern Avenue, Chelsea. </w:t>
      </w:r>
      <w:r>
        <w:rPr>
          <w:rFonts w:ascii="Calibri" w:cs="Calibri" w:eastAsia="Calibri" w:hAnsi="Calibri"/>
          <w:b/>
          <w:bCs/>
          <w:i w:val="false"/>
          <w:iCs w:val="false"/>
          <w:color w:val="000000"/>
          <w:sz w:val="21"/>
          <w:szCs w:val="21"/>
        </w:rPr>
        <w:t xml:space="preserve">MCE score: 113 out of 125.</w:t>
      </w:r>
      <w:r>
        <w:rPr>
          <w:rFonts w:ascii="Calibri" w:cs="Calibri" w:eastAsia="Calibri" w:hAnsi="Calibri"/>
          <w:b w:val="false"/>
          <w:bCs w:val="false"/>
          <w:i w:val="false"/>
          <w:iCs w:val="false"/>
          <w:color w:val="000000"/>
          <w:sz w:val="21"/>
          <w:szCs w:val="21"/>
        </w:rPr>
        <w:t xml:space="preserve"> I-1/I-2 industrial zoning. Urban industrial parcel, 0.4 miles from the Eversource Chelsea electrical substation. The tool scores it twenty-five out of twenty-five for EJ compliance — the highest possible — and twenty-four out of twenty-five for revenue potential.</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The financial model: 100 megawatts, 400 megawatt-hours, four-hour duration. Gross CAPEX of $144 million. After the 40% ITC of $57.6 million, net CAPEX is $86.4 million. Year One gross revenue at $130 per kilowatt per year: $13 million. Year One EBITDA: $10.1 million.</w:t>
      </w:r>
    </w:p>
    <w:p>
      <w:pPr>
        <w:spacing w:after="100" w:before="0" w:line="300" w:lineRule="auto"/>
        <w:jc w:val="left"/>
      </w:pPr>
      <w:r>
        <w:rPr>
          <w:rFonts w:ascii="Calibri" w:cs="Calibri" w:eastAsia="Calibri" w:hAnsi="Calibri"/>
          <w:b/>
          <w:bCs/>
          <w:i w:val="false"/>
          <w:iCs w:val="false"/>
          <w:color w:val="000000"/>
          <w:sz w:val="21"/>
          <w:szCs w:val="21"/>
        </w:rPr>
        <w:t xml:space="preserve">NPV at 8% discount rate: positive $5,365,186.</w:t>
      </w:r>
      <w:r>
        <w:rPr>
          <w:rFonts w:ascii="Calibri" w:cs="Calibri" w:eastAsia="Calibri" w:hAnsi="Calibri"/>
          <w:b w:val="false"/>
          <w:bCs w:val="false"/>
          <w:i w:val="false"/>
          <w:iCs w:val="false"/>
          <w:color w:val="000000"/>
          <w:sz w:val="21"/>
          <w:szCs w:val="21"/>
        </w:rPr>
        <w:t xml:space="preserve"> Unlevered IRR: 8.84%. Payback period: 8.5 years. </w:t>
      </w:r>
      <w:r>
        <w:rPr>
          <w:rFonts w:ascii="Calibri" w:cs="Calibri" w:eastAsia="Calibri" w:hAnsi="Calibri"/>
          <w:b/>
          <w:bCs/>
          <w:i w:val="false"/>
          <w:iCs w:val="false"/>
          <w:color w:val="000000"/>
          <w:sz w:val="21"/>
          <w:szCs w:val="21"/>
        </w:rPr>
        <w:t xml:space="preserve">This is the only site in the study with a positive NPV at base revenue assumptions.</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The interconnection cost of $12 million is the primary risk. The financial model shows that every additional $1 million of interconnection cost reduces NPV by approximately $1.7 million. An escalation to $20 million or more approaches breakeven at base revenue. That makes the interconnection cost study — not yet completed — the single most important next step for this project.</w:t>
      </w:r>
    </w:p>
    <w:p>
      <w:pPr>
        <w:spacing w:after="100" w:before="0" w:line="300" w:lineRule="auto"/>
        <w:jc w:val="left"/>
      </w:pPr>
      <w:r>
        <w:rPr>
          <w:rFonts w:ascii="Calibri" w:cs="Calibri" w:eastAsia="Calibri" w:hAnsi="Calibri"/>
          <w:b/>
          <w:bCs/>
          <w:i w:val="false"/>
          <w:iCs w:val="false"/>
          <w:color w:val="000000"/>
          <w:sz w:val="21"/>
          <w:szCs w:val="21"/>
        </w:rPr>
        <w:t xml:space="preserve">The investment verdict: conditionally viable, with leverage potential of 12 to 15% equity IRR.</w:t>
      </w:r>
      <w:r>
        <w:rPr>
          <w:rFonts w:ascii="Calibri" w:cs="Calibri" w:eastAsia="Calibri" w:hAnsi="Calibri"/>
          <w:b w:val="false"/>
          <w:bCs w:val="false"/>
          <w:i w:val="false"/>
          <w:iCs w:val="false"/>
          <w:color w:val="000000"/>
          <w:sz w:val="21"/>
          <w:szCs w:val="21"/>
        </w:rPr>
        <w:t xml:space="preserve"> Achieving that requires contracted revenue, debt financing at 50 to 65% of project cost, and confirmation of the ITC at 40% or higher.</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A83D28" w:sz="8" w:space="0"/>
        </w:pBdr>
        <w:spacing w:after="0" w:before="0" w:line="276" w:lineRule="auto"/>
        <w:ind w:left="160"/>
      </w:pPr>
      <w:r>
        <w:rPr>
          <w:rFonts w:ascii="Calibri" w:cs="Calibri" w:eastAsia="Calibri" w:hAnsi="Calibri"/>
          <w:b/>
          <w:bCs/>
          <w:color w:val="A83D28"/>
          <w:sz w:val="18"/>
          <w:szCs w:val="18"/>
        </w:rPr>
        <w:t xml:space="preserve">TRANSITION: </w:t>
      </w:r>
      <w:r>
        <w:rPr>
          <w:rFonts w:ascii="Calibri" w:cs="Calibri" w:eastAsia="Calibri" w:hAnsi="Calibri"/>
          <w:i/>
          <w:iCs/>
          <w:color w:val="333333"/>
          <w:sz w:val="18"/>
          <w:szCs w:val="18"/>
        </w:rPr>
        <w:t xml:space="preserve">Advance to Slide 14.</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E2040"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14</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35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Financial Comparison: Model-Validated Economics</w:t>
            </w:r>
          </w:p>
          <w:p>
            <w:pPr>
              <w:spacing w:after="0" w:before="0" w:line="300" w:lineRule="auto"/>
              <w:jc w:val="left"/>
            </w:pPr>
            <w:r>
              <w:rPr>
                <w:rFonts w:ascii="Calibri" w:cs="Calibri" w:eastAsia="Calibri" w:hAnsi="Calibri"/>
                <w:b/>
                <w:bCs/>
                <w:i w:val="false"/>
                <w:iCs w:val="false"/>
                <w:color w:val="0E2040"/>
                <w:sz w:val="19"/>
                <w:szCs w:val="19"/>
              </w:rPr>
              <w:t xml:space="preserve">Main point: </w:t>
            </w:r>
            <w:r>
              <w:rPr>
                <w:rFonts w:ascii="Calibri" w:cs="Calibri" w:eastAsia="Calibri" w:hAnsi="Calibri"/>
                <w:b w:val="false"/>
                <w:bCs w:val="false"/>
                <w:i/>
                <w:iCs/>
                <w:color w:val="000000"/>
                <w:sz w:val="19"/>
                <w:szCs w:val="19"/>
              </w:rPr>
              <w:t xml:space="preserve">Side by side from the models: Everett is the lowest-cost entry; Chelsea is the only site with positive NPV at base revenue.</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0E2040" w:sz="14" w:space="0"/>
              <w:bottom w:val="none" w:color="FFFFFF" w:sz="0" w:space="0"/>
              <w:right w:val="none" w:color="FFFFFF" w:sz="0" w:space="0"/>
            </w:tcBorders>
            <w:shd w:fill="0E2040"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0E2040" w:sz="1" w:space="0"/>
              <w:left w:val="none" w:color="FFFFFF" w:sz="0" w:space="0"/>
              <w:bottom w:val="single" w:color="0E2040"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0E2040"/>
                <w:sz w:val="22"/>
                <w:szCs w:val="22"/>
              </w:rPr>
              <w:t xml:space="preserve">WACC</w:t>
            </w:r>
            <w:r>
              <w:rPr>
                <w:rFonts w:ascii="Calibri" w:cs="Calibri" w:eastAsia="Calibri" w:hAnsi="Calibri"/>
                <w:b w:val="false"/>
                <w:bCs w:val="false"/>
                <w:i/>
                <w:iCs/>
                <w:color w:val="000000"/>
                <w:sz w:val="20"/>
                <w:szCs w:val="20"/>
              </w:rPr>
              <w:t xml:space="preserve">  —  Weighted Average Cost of Capital</w:t>
            </w:r>
          </w:p>
          <w:p>
            <w:pPr>
              <w:spacing w:after="30" w:before="0" w:line="300" w:lineRule="auto"/>
              <w:jc w:val="left"/>
            </w:pPr>
            <w:r>
              <w:rPr>
                <w:rFonts w:ascii="Calibri" w:cs="Calibri" w:eastAsia="Calibri" w:hAnsi="Calibri"/>
                <w:b/>
                <w:bCs/>
                <w:i w:val="false"/>
                <w:iCs w:val="false"/>
                <w:color w:val="0E2040"/>
                <w:sz w:val="19"/>
                <w:szCs w:val="19"/>
              </w:rPr>
              <w:t xml:space="preserve">Origin: </w:t>
            </w:r>
            <w:r>
              <w:rPr>
                <w:rFonts w:ascii="Calibri" w:cs="Calibri" w:eastAsia="Calibri" w:hAnsi="Calibri"/>
                <w:b w:val="false"/>
                <w:bCs w:val="false"/>
                <w:i w:val="false"/>
                <w:iCs w:val="false"/>
                <w:color w:val="000000"/>
                <w:sz w:val="19"/>
                <w:szCs w:val="19"/>
              </w:rPr>
              <w:t xml:space="preserve">A standard metric in corporate finance representing the blended rate of return required by a project's capital providers — both debt holders and equity investors.</w:t>
            </w:r>
          </w:p>
          <w:p>
            <w:pPr>
              <w:spacing w:after="30" w:before="0" w:line="300" w:lineRule="auto"/>
              <w:jc w:val="left"/>
            </w:pPr>
            <w:r>
              <w:rPr>
                <w:rFonts w:ascii="Calibri" w:cs="Calibri" w:eastAsia="Calibri" w:hAnsi="Calibri"/>
                <w:b/>
                <w:bCs/>
                <w:i w:val="false"/>
                <w:iCs w:val="false"/>
                <w:color w:val="0E2040"/>
                <w:sz w:val="19"/>
                <w:szCs w:val="19"/>
              </w:rPr>
              <w:t xml:space="preserve">Meaning: </w:t>
            </w:r>
            <w:r>
              <w:rPr>
                <w:rFonts w:ascii="Calibri" w:cs="Calibri" w:eastAsia="Calibri" w:hAnsi="Calibri"/>
                <w:b w:val="false"/>
                <w:bCs w:val="false"/>
                <w:i w:val="false"/>
                <w:iCs w:val="false"/>
                <w:color w:val="000000"/>
                <w:sz w:val="19"/>
                <w:szCs w:val="19"/>
              </w:rPr>
              <w:t xml:space="preserve">WACC is the minimum return a project must earn to satisfy the investors and lenders who funded it. It reflects the cost of debt (interest payments) and the cost of equity (the return investors expect), weighted by how much of the project each type of capital funds. A project with an NPV above zero at a given WACC earns more than its cost of capital.</w:t>
            </w:r>
          </w:p>
          <w:p>
            <w:pPr>
              <w:spacing w:after="0" w:before="0" w:line="300" w:lineRule="auto"/>
              <w:jc w:val="left"/>
            </w:pPr>
            <w:r>
              <w:rPr>
                <w:rFonts w:ascii="Calibri" w:cs="Calibri" w:eastAsia="Calibri" w:hAnsi="Calibri"/>
                <w:b/>
                <w:bCs/>
                <w:i w:val="false"/>
                <w:iCs w:val="false"/>
                <w:color w:val="0E2040"/>
                <w:sz w:val="19"/>
                <w:szCs w:val="19"/>
              </w:rPr>
              <w:t xml:space="preserve">Purpose here: </w:t>
            </w:r>
            <w:r>
              <w:rPr>
                <w:rFonts w:ascii="Calibri" w:cs="Calibri" w:eastAsia="Calibri" w:hAnsi="Calibri"/>
                <w:b w:val="false"/>
                <w:bCs w:val="false"/>
                <w:i w:val="false"/>
                <w:iCs w:val="false"/>
                <w:color w:val="000000"/>
                <w:sz w:val="19"/>
                <w:szCs w:val="19"/>
              </w:rPr>
              <w:t xml:space="preserve">Both financial models use an 8% unlevered WACC as the discount rate for NPV calculations. This is a standard assumption for infrastructure projects of this risk profile. Chelsea's NPV of positive $5.4 million at 8% WACC means it clears that hurdle. Everett's negative NPV means it does not — without revenue or ITC improvements.</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0E2040" w:sz="14" w:space="0"/>
              <w:bottom w:val="none" w:color="FFFFFF" w:sz="0" w:space="0"/>
              <w:right w:val="none" w:color="FFFFFF" w:sz="0" w:space="0"/>
            </w:tcBorders>
            <w:shd w:fill="0E2040"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0E2040" w:sz="1" w:space="0"/>
              <w:left w:val="none" w:color="FFFFFF" w:sz="0" w:space="0"/>
              <w:bottom w:val="single" w:color="0E2040"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0E2040"/>
                <w:sz w:val="22"/>
                <w:szCs w:val="22"/>
              </w:rPr>
              <w:t xml:space="preserve">EBITDA</w:t>
            </w:r>
            <w:r>
              <w:rPr>
                <w:rFonts w:ascii="Calibri" w:cs="Calibri" w:eastAsia="Calibri" w:hAnsi="Calibri"/>
                <w:b w:val="false"/>
                <w:bCs w:val="false"/>
                <w:i/>
                <w:iCs/>
                <w:color w:val="000000"/>
                <w:sz w:val="20"/>
                <w:szCs w:val="20"/>
              </w:rPr>
              <w:t xml:space="preserve">  —  Earnings Before Interest, Taxes, Depreciation, and Amortization</w:t>
            </w:r>
          </w:p>
          <w:p>
            <w:pPr>
              <w:spacing w:after="30" w:before="0" w:line="300" w:lineRule="auto"/>
              <w:jc w:val="left"/>
            </w:pPr>
            <w:r>
              <w:rPr>
                <w:rFonts w:ascii="Calibri" w:cs="Calibri" w:eastAsia="Calibri" w:hAnsi="Calibri"/>
                <w:b/>
                <w:bCs/>
                <w:i w:val="false"/>
                <w:iCs w:val="false"/>
                <w:color w:val="0E2040"/>
                <w:sz w:val="19"/>
                <w:szCs w:val="19"/>
              </w:rPr>
              <w:t xml:space="preserve">Origin: </w:t>
            </w:r>
            <w:r>
              <w:rPr>
                <w:rFonts w:ascii="Calibri" w:cs="Calibri" w:eastAsia="Calibri" w:hAnsi="Calibri"/>
                <w:b w:val="false"/>
                <w:bCs w:val="false"/>
                <w:i w:val="false"/>
                <w:iCs w:val="false"/>
                <w:color w:val="000000"/>
                <w:sz w:val="19"/>
                <w:szCs w:val="19"/>
              </w:rPr>
              <w:t xml:space="preserve">A widely used financial performance metric that isolates a project's operating profitability before financing costs and accounting adjustments.</w:t>
            </w:r>
          </w:p>
          <w:p>
            <w:pPr>
              <w:spacing w:after="30" w:before="0" w:line="300" w:lineRule="auto"/>
              <w:jc w:val="left"/>
            </w:pPr>
            <w:r>
              <w:rPr>
                <w:rFonts w:ascii="Calibri" w:cs="Calibri" w:eastAsia="Calibri" w:hAnsi="Calibri"/>
                <w:b/>
                <w:bCs/>
                <w:i w:val="false"/>
                <w:iCs w:val="false"/>
                <w:color w:val="0E2040"/>
                <w:sz w:val="19"/>
                <w:szCs w:val="19"/>
              </w:rPr>
              <w:t xml:space="preserve">Meaning: </w:t>
            </w:r>
            <w:r>
              <w:rPr>
                <w:rFonts w:ascii="Calibri" w:cs="Calibri" w:eastAsia="Calibri" w:hAnsi="Calibri"/>
                <w:b w:val="false"/>
                <w:bCs w:val="false"/>
                <w:i w:val="false"/>
                <w:iCs w:val="false"/>
                <w:color w:val="000000"/>
                <w:sz w:val="19"/>
                <w:szCs w:val="19"/>
              </w:rPr>
              <w:t xml:space="preserve">EBITDA represents the cash a project generates from its core operations — revenue minus operating expenses — before accounting for how it was financed or how assets are depreciated over time. For a BESS project, it is essentially annual revenue minus annual operating and maintenance costs.</w:t>
            </w:r>
          </w:p>
          <w:p>
            <w:pPr>
              <w:spacing w:after="0" w:before="0" w:line="300" w:lineRule="auto"/>
              <w:jc w:val="left"/>
            </w:pPr>
            <w:r>
              <w:rPr>
                <w:rFonts w:ascii="Calibri" w:cs="Calibri" w:eastAsia="Calibri" w:hAnsi="Calibri"/>
                <w:b/>
                <w:bCs/>
                <w:i w:val="false"/>
                <w:iCs w:val="false"/>
                <w:color w:val="0E2040"/>
                <w:sz w:val="19"/>
                <w:szCs w:val="19"/>
              </w:rPr>
              <w:t xml:space="preserve">Purpose here: </w:t>
            </w:r>
            <w:r>
              <w:rPr>
                <w:rFonts w:ascii="Calibri" w:cs="Calibri" w:eastAsia="Calibri" w:hAnsi="Calibri"/>
                <w:b w:val="false"/>
                <w:bCs w:val="false"/>
                <w:i w:val="false"/>
                <w:iCs w:val="false"/>
                <w:color w:val="000000"/>
                <w:sz w:val="19"/>
                <w:szCs w:val="19"/>
              </w:rPr>
              <w:t xml:space="preserve">Everett's Year One EBITDA is $1,447,400 — modest but positive. Chelsea's is $10,120,000 — the much larger scale drives the difference. EBITDA is the metric lenders use to assess whether a project generates enough operating cash to service debt, making Chelsea's figure far more attractive for project financing.</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The table on this slide shows the full CAPEX build-up for both sites directly from the financial models. Every line item is confirmed: battery cost, interconnection, land, construction, development. </w:t>
      </w:r>
      <w:r>
        <w:rPr>
          <w:rFonts w:ascii="Calibri" w:cs="Calibri" w:eastAsia="Calibri" w:hAnsi="Calibri"/>
          <w:b/>
          <w:bCs/>
          <w:i w:val="false"/>
          <w:iCs w:val="false"/>
          <w:color w:val="000000"/>
          <w:sz w:val="21"/>
          <w:szCs w:val="21"/>
        </w:rPr>
        <w:t xml:space="preserve">No estimates. No NREL benchmarks applied at the aggregate level. Model-confirmed numbers.</w:t>
      </w:r>
    </w:p>
    <w:p>
      <w:pPr>
        <w:spacing w:after="100" w:before="0" w:line="300" w:lineRule="auto"/>
        <w:jc w:val="left"/>
      </w:pPr>
      <w:r>
        <w:rPr>
          <w:rFonts w:ascii="Calibri" w:cs="Calibri" w:eastAsia="Calibri" w:hAnsi="Calibri"/>
          <w:b/>
          <w:bCs/>
          <w:i w:val="false"/>
          <w:iCs w:val="false"/>
          <w:color w:val="000000"/>
          <w:sz w:val="21"/>
          <w:szCs w:val="21"/>
        </w:rPr>
        <w:t xml:space="preserve">The two highlighted rows are the ones that matter most: Total Gross CAPEX and NPV.</w:t>
      </w:r>
      <w:r>
        <w:rPr>
          <w:rFonts w:ascii="Calibri" w:cs="Calibri" w:eastAsia="Calibri" w:hAnsi="Calibri"/>
          <w:b w:val="false"/>
          <w:bCs w:val="false"/>
          <w:i w:val="false"/>
          <w:iCs w:val="false"/>
          <w:color w:val="000000"/>
          <w:sz w:val="21"/>
          <w:szCs w:val="21"/>
        </w:rPr>
        <w:t xml:space="preserve"> Everett: $25.1 million gross CAPEX, negative $2.2 million NPV. Chelsea: $144 million gross CAPEX, positive $5.4 million NPV.</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The sensitivity callout at the bottom is important: for Everett, the viability threshold is above $150 per kilowatt per year in revenue, or 50% ITC — at which point NPV turns positive at $2.3 million. For Chelsea, if ITC reaches 50% through the energy community or low-income community bonus, NPV rises to $19.3 million. </w:t>
      </w:r>
      <w:r>
        <w:rPr>
          <w:rFonts w:ascii="Calibri" w:cs="Calibri" w:eastAsia="Calibri" w:hAnsi="Calibri"/>
          <w:b/>
          <w:bCs/>
          <w:i w:val="false"/>
          <w:iCs w:val="false"/>
          <w:color w:val="000000"/>
          <w:sz w:val="21"/>
          <w:szCs w:val="21"/>
        </w:rPr>
        <w:t xml:space="preserve">The ITC tier makes a $13.9 million difference for Chelsea alone.</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E2040" w:sz="8" w:space="0"/>
        </w:pBdr>
        <w:spacing w:after="0" w:before="0" w:line="276" w:lineRule="auto"/>
        <w:ind w:left="160"/>
      </w:pPr>
      <w:r>
        <w:rPr>
          <w:rFonts w:ascii="Calibri" w:cs="Calibri" w:eastAsia="Calibri" w:hAnsi="Calibri"/>
          <w:b/>
          <w:bCs/>
          <w:color w:val="0E2040"/>
          <w:sz w:val="18"/>
          <w:szCs w:val="18"/>
        </w:rPr>
        <w:t xml:space="preserve">TRANSITION: </w:t>
      </w:r>
      <w:r>
        <w:rPr>
          <w:rFonts w:ascii="Calibri" w:cs="Calibri" w:eastAsia="Calibri" w:hAnsi="Calibri"/>
          <w:i/>
          <w:iCs/>
          <w:color w:val="333333"/>
          <w:sz w:val="18"/>
          <w:szCs w:val="18"/>
        </w:rPr>
        <w:t xml:space="preserve">Advance to Slide 15.</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E2040"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15</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25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Project-Level Economic Impact</w:t>
            </w:r>
          </w:p>
          <w:p>
            <w:pPr>
              <w:spacing w:after="0" w:before="0" w:line="300" w:lineRule="auto"/>
              <w:jc w:val="left"/>
            </w:pPr>
            <w:r>
              <w:rPr>
                <w:rFonts w:ascii="Calibri" w:cs="Calibri" w:eastAsia="Calibri" w:hAnsi="Calibri"/>
                <w:b/>
                <w:bCs/>
                <w:i w:val="false"/>
                <w:iCs w:val="false"/>
                <w:color w:val="0E2040"/>
                <w:sz w:val="19"/>
                <w:szCs w:val="19"/>
              </w:rPr>
              <w:t xml:space="preserve">Main point: </w:t>
            </w:r>
            <w:r>
              <w:rPr>
                <w:rFonts w:ascii="Calibri" w:cs="Calibri" w:eastAsia="Calibri" w:hAnsi="Calibri"/>
                <w:b w:val="false"/>
                <w:bCs w:val="false"/>
                <w:i/>
                <w:iCs/>
                <w:color w:val="000000"/>
                <w:sz w:val="19"/>
                <w:szCs w:val="19"/>
              </w:rPr>
              <w:t xml:space="preserve">Combined, the two sites represent $169M in gross capital, 115 MW of capacity, and $11.6M per year in operating earnings — contingent on contracted revenue.</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The five headline statistics on this slide come directly from the financial models. </w:t>
      </w:r>
      <w:r>
        <w:rPr>
          <w:rFonts w:ascii="Calibri" w:cs="Calibri" w:eastAsia="Calibri" w:hAnsi="Calibri"/>
          <w:b/>
          <w:bCs/>
          <w:i w:val="false"/>
          <w:iCs w:val="false"/>
          <w:color w:val="000000"/>
          <w:sz w:val="21"/>
          <w:szCs w:val="21"/>
        </w:rPr>
        <w:t xml:space="preserve">$169 million combined gross CAPEX. $101.5 million net after 40% ITC. 115 megawatts combined. $11.6 million per year combined EBITDA. And an unlevered IRR range of 5.9 to 8.8%.</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The four cards below those headlines tell the full story. The ITC is confirmed at 40% — the domestic content bonus carries execution risk with current supply chains. The $12 million Chelsea interconnection cost is the dominant financial risk. And neither site is investable on a purely merchant basis. </w:t>
      </w:r>
      <w:r>
        <w:rPr>
          <w:rFonts w:ascii="Calibri" w:cs="Calibri" w:eastAsia="Calibri" w:hAnsi="Calibri"/>
          <w:b/>
          <w:bCs/>
          <w:i w:val="false"/>
          <w:iCs w:val="false"/>
          <w:color w:val="000000"/>
          <w:sz w:val="21"/>
          <w:szCs w:val="21"/>
        </w:rPr>
        <w:t xml:space="preserve">Both require contracted revenue — specifically through:</w:t>
      </w:r>
    </w:p>
    <w:p>
      <w:pPr>
        <w:spacing w:after="0" w:before="5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2A6145" w:sz="14" w:space="0"/>
              <w:bottom w:val="none" w:color="FFFFFF" w:sz="0" w:space="0"/>
              <w:right w:val="none" w:color="FFFFFF" w:sz="0" w:space="0"/>
            </w:tcBorders>
            <w:shd w:fill="2A6145" w:color="auto" w:val="clear"/>
            <w:tcMar>
              <w:top w:type="dxa" w:w="60"/>
              <w:left w:type="dxa" w:w="0"/>
              <w:bottom w:type="dxa" w:w="60"/>
              <w:right w:type="dxa" w:w="0"/>
            </w:tcMar>
          </w:tcPr>
          <w:p>
            <w:pPr>
              <w:spacing w:after="0" w:before="0" w:line="288" w:lineRule="auto"/>
              <w:jc w:val="left"/>
            </w:pPr>
            <w:r>
              <w:rPr>
                <w:rFonts w:ascii="Calibri" w:cs="Calibri" w:eastAsia="Calibri" w:hAnsi="Calibri"/>
                <w:b w:val="false"/>
                <w:bCs w:val="false"/>
                <w:i w:val="false"/>
                <w:iCs w:val="false"/>
                <w:color w:val="000000"/>
                <w:sz w:val="4"/>
                <w:szCs w:val="4"/>
              </w:rPr>
              <w:t xml:space="preserve"/>
            </w:r>
          </w:p>
        </w:tc>
        <w:tc>
          <w:tcPr>
            <w:tcW w:type="dxa" w:w="8792"/>
            <w:tcBorders>
              <w:top w:val="single" w:color="2A6145" w:sz="1" w:space="0"/>
              <w:left w:val="none" w:color="FFFFFF" w:sz="0" w:space="0"/>
              <w:bottom w:val="single" w:color="2A6145" w:sz="1" w:space="0"/>
              <w:right w:val="none" w:color="FFFFFF" w:sz="0" w:space="0"/>
            </w:tcBorders>
            <w:shd w:fill="EFF8F7" w:color="auto" w:val="clear"/>
            <w:tcMar>
              <w:top w:type="dxa" w:w="80"/>
              <w:left w:type="dxa" w:w="180"/>
              <w:bottom w:type="dxa" w:w="80"/>
              <w:right w:type="dxa" w:w="100"/>
            </w:tcMar>
          </w:tcPr>
          <w:p>
            <w:pPr>
              <w:spacing w:after="50" w:before="0" w:line="300" w:lineRule="auto"/>
              <w:jc w:val="left"/>
            </w:pPr>
            <w:r>
              <w:rPr>
                <w:rFonts w:ascii="Calibri" w:cs="Calibri" w:eastAsia="Calibri" w:hAnsi="Calibri"/>
                <w:b/>
                <w:bCs/>
                <w:i w:val="false"/>
                <w:iCs w:val="false"/>
                <w:color w:val="2A6145"/>
                <w:sz w:val="22"/>
                <w:szCs w:val="22"/>
              </w:rPr>
              <w:t xml:space="preserve">Section 83E</w:t>
            </w:r>
            <w:r>
              <w:rPr>
                <w:rFonts w:ascii="Calibri" w:cs="Calibri" w:eastAsia="Calibri" w:hAnsi="Calibri"/>
                <w:b w:val="false"/>
                <w:bCs w:val="false"/>
                <w:i/>
                <w:iCs/>
                <w:color w:val="000000"/>
                <w:sz w:val="20"/>
                <w:szCs w:val="20"/>
              </w:rPr>
              <w:t xml:space="preserve">  —  Section 83E of the Massachusetts Green Communities Act</w:t>
            </w:r>
          </w:p>
          <w:p>
            <w:pPr>
              <w:spacing w:after="30" w:before="0" w:line="300" w:lineRule="auto"/>
              <w:jc w:val="left"/>
            </w:pPr>
            <w:r>
              <w:rPr>
                <w:rFonts w:ascii="Calibri" w:cs="Calibri" w:eastAsia="Calibri" w:hAnsi="Calibri"/>
                <w:b/>
                <w:bCs/>
                <w:i w:val="false"/>
                <w:iCs w:val="false"/>
                <w:color w:val="2A6145"/>
                <w:sz w:val="19"/>
                <w:szCs w:val="19"/>
              </w:rPr>
              <w:t xml:space="preserve">Origin: </w:t>
            </w:r>
            <w:r>
              <w:rPr>
                <w:rFonts w:ascii="Calibri" w:cs="Calibri" w:eastAsia="Calibri" w:hAnsi="Calibri"/>
                <w:b w:val="false"/>
                <w:bCs w:val="false"/>
                <w:i w:val="false"/>
                <w:iCs w:val="false"/>
                <w:color w:val="000000"/>
                <w:sz w:val="19"/>
                <w:szCs w:val="19"/>
              </w:rPr>
              <w:t xml:space="preserve">Added to the Green Communities Act by Chapter 239, Acts of 2024 — the same legislation that created the 5,000 MW storage mandate.</w:t>
            </w:r>
          </w:p>
          <w:p>
            <w:pPr>
              <w:spacing w:after="30" w:before="0" w:line="300" w:lineRule="auto"/>
              <w:jc w:val="left"/>
            </w:pPr>
            <w:r>
              <w:rPr>
                <w:rFonts w:ascii="Calibri" w:cs="Calibri" w:eastAsia="Calibri" w:hAnsi="Calibri"/>
                <w:b/>
                <w:bCs/>
                <w:i w:val="false"/>
                <w:iCs w:val="false"/>
                <w:color w:val="2A6145"/>
                <w:sz w:val="19"/>
                <w:szCs w:val="19"/>
              </w:rPr>
              <w:t xml:space="preserve">Meaning: </w:t>
            </w:r>
            <w:r>
              <w:rPr>
                <w:rFonts w:ascii="Calibri" w:cs="Calibri" w:eastAsia="Calibri" w:hAnsi="Calibri"/>
                <w:b w:val="false"/>
                <w:bCs w:val="false"/>
                <w:i w:val="false"/>
                <w:iCs w:val="false"/>
                <w:color w:val="000000"/>
                <w:sz w:val="19"/>
                <w:szCs w:val="19"/>
              </w:rPr>
              <w:t xml:space="preserve">Section 83E is Massachusetts's procurement program for long-term battery storage contracts. Under 83E, MassDOER runs competitive solicitations through which BESS projects can obtain 20-year contracts for Clean Peak Energy Certificates — providing the revenue certainty that makes a project bankable. The first round, in December 2025, awarded contracts for approximately 1.3 gigawatts of new storage.</w:t>
            </w:r>
          </w:p>
          <w:p>
            <w:pPr>
              <w:spacing w:after="0" w:before="0" w:line="300" w:lineRule="auto"/>
              <w:jc w:val="left"/>
            </w:pPr>
            <w:r>
              <w:rPr>
                <w:rFonts w:ascii="Calibri" w:cs="Calibri" w:eastAsia="Calibri" w:hAnsi="Calibri"/>
                <w:b/>
                <w:bCs/>
                <w:i w:val="false"/>
                <w:iCs w:val="false"/>
                <w:color w:val="2A6145"/>
                <w:sz w:val="19"/>
                <w:szCs w:val="19"/>
              </w:rPr>
              <w:t xml:space="preserve">Purpose here: </w:t>
            </w:r>
            <w:r>
              <w:rPr>
                <w:rFonts w:ascii="Calibri" w:cs="Calibri" w:eastAsia="Calibri" w:hAnsi="Calibri"/>
                <w:b w:val="false"/>
                <w:bCs w:val="false"/>
                <w:i w:val="false"/>
                <w:iCs w:val="false"/>
                <w:color w:val="000000"/>
                <w:sz w:val="19"/>
                <w:szCs w:val="19"/>
              </w:rPr>
              <w:t xml:space="preserve">Section 83E contracted revenue is the mechanism that converts both our project sites from conditionally viable to fully investable. For Chelsea, a 20-year CPEC contract at the contracted rate would lock in the revenue floor needed to secure debt financing and push equity IRR into the 12 to 15% range. For Everett, it would raise revenue above the $150 per kilowatt per year threshold at which NPV turns positive. Both sites are positioned to compete in Section 83E Round 2.</w:t>
            </w:r>
          </w:p>
        </w:tc>
      </w:tr>
    </w:tbl>
    <w:p>
      <w:pPr>
        <w:spacing w:after="0" w:before="50" w:line="288" w:lineRule="auto"/>
        <w:jc w:val="left"/>
      </w:pPr>
      <w:r>
        <w:rPr>
          <w:rFonts w:ascii="Calibri" w:cs="Calibri" w:eastAsia="Calibri" w:hAnsi="Calibri"/>
          <w:b w:val="false"/>
          <w:bCs w:val="false"/>
          <w:i w:val="false"/>
          <w:iCs w:val="false"/>
          <w:color w:val="000000"/>
          <w:sz w:val="2"/>
          <w:szCs w:val="2"/>
        </w:rPr>
        <w:t xml:space="preserve"/>
      </w:r>
    </w:p>
    <w:p>
      <w:pPr>
        <w:spacing w:after="100" w:before="0" w:line="300" w:lineRule="auto"/>
        <w:jc w:val="left"/>
      </w:pPr>
      <w:r>
        <w:rPr>
          <w:rFonts w:ascii="Calibri" w:cs="Calibri" w:eastAsia="Calibri" w:hAnsi="Calibri"/>
          <w:b/>
          <w:bCs/>
          <w:i w:val="false"/>
          <w:iCs w:val="false"/>
          <w:color w:val="000000"/>
          <w:sz w:val="21"/>
          <w:szCs w:val="21"/>
        </w:rPr>
        <w:t xml:space="preserve">The bottom right card is the key takeaway from this entire project: 'We built a tool to fix how BESS sites are selected — then tested it on Chelsea and Everett to show what is actually investable, and why.'</w:t>
      </w:r>
      <w:r>
        <w:rPr>
          <w:rFonts w:ascii="Calibri" w:cs="Calibri" w:eastAsia="Calibri" w:hAnsi="Calibri"/>
          <w:b w:val="false"/>
          <w:bCs w:val="false"/>
          <w:i w:val="false"/>
          <w:iCs w:val="false"/>
          <w:color w:val="000000"/>
          <w:sz w:val="21"/>
          <w:szCs w:val="21"/>
        </w:rPr>
        <w:t xml:space="preserve"> The tool's five-layer MCE scores of 119 and 113 correctly identified the two strongest sites in the study. The financial models confirmed the selection and refined the investment picture. That is the tool working exactly as designed.</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E2040" w:sz="8" w:space="0"/>
        </w:pBdr>
        <w:spacing w:after="0" w:before="0" w:line="276" w:lineRule="auto"/>
        <w:ind w:left="160"/>
      </w:pPr>
      <w:r>
        <w:rPr>
          <w:rFonts w:ascii="Calibri" w:cs="Calibri" w:eastAsia="Calibri" w:hAnsi="Calibri"/>
          <w:b/>
          <w:bCs/>
          <w:color w:val="0E2040"/>
          <w:sz w:val="18"/>
          <w:szCs w:val="18"/>
        </w:rPr>
        <w:t xml:space="preserve">TRANSITION: </w:t>
      </w:r>
      <w:r>
        <w:rPr>
          <w:rFonts w:ascii="Calibri" w:cs="Calibri" w:eastAsia="Calibri" w:hAnsi="Calibri"/>
          <w:i/>
          <w:iCs/>
          <w:color w:val="333333"/>
          <w:sz w:val="18"/>
          <w:szCs w:val="18"/>
        </w:rPr>
        <w:t xml:space="preserve">Advance to Slide 16.</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D7C7B"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16</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20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The Tool's Unique Advantage — Assessing Any City in Massachusetts</w:t>
            </w:r>
          </w:p>
          <w:p>
            <w:pPr>
              <w:spacing w:after="0" w:before="0" w:line="300" w:lineRule="auto"/>
              <w:jc w:val="left"/>
            </w:pPr>
            <w:r>
              <w:rPr>
                <w:rFonts w:ascii="Calibri" w:cs="Calibri" w:eastAsia="Calibri" w:hAnsi="Calibri"/>
                <w:b/>
                <w:bCs/>
                <w:i w:val="false"/>
                <w:iCs w:val="false"/>
                <w:color w:val="0D7C7B"/>
                <w:sz w:val="19"/>
                <w:szCs w:val="19"/>
              </w:rPr>
              <w:t xml:space="preserve">Main point: </w:t>
            </w:r>
            <w:r>
              <w:rPr>
                <w:rFonts w:ascii="Calibri" w:cs="Calibri" w:eastAsia="Calibri" w:hAnsi="Calibri"/>
                <w:b w:val="false"/>
                <w:bCs w:val="false"/>
                <w:i/>
                <w:iCs/>
                <w:color w:val="000000"/>
                <w:sz w:val="19"/>
                <w:szCs w:val="19"/>
              </w:rPr>
              <w:t xml:space="preserve">The same five-layer framework — validated here — applies to any Massachusetts county using the same publicly available data.</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Suffolk and Middlesex Counties were chosen for their representativeness: demographic diversity, grid complexity, multiple utilities, and both NEMA and SENE pricing zones. </w:t>
      </w:r>
      <w:r>
        <w:rPr>
          <w:rFonts w:ascii="Calibri" w:cs="Calibri" w:eastAsia="Calibri" w:hAnsi="Calibri"/>
          <w:b/>
          <w:bCs/>
          <w:i w:val="false"/>
          <w:iCs w:val="false"/>
          <w:color w:val="000000"/>
          <w:sz w:val="21"/>
          <w:szCs w:val="21"/>
        </w:rPr>
        <w:t xml:space="preserve">The comparison table on this slide shows how our five-layer MCE compares to the prior Worcester County baseline: we added EJ compliance, revenue modeling, legal framework, multi-audience design, and financial validation.</w:t>
      </w:r>
    </w:p>
    <w:p>
      <w:pPr>
        <w:spacing w:after="100" w:before="0" w:line="300" w:lineRule="auto"/>
        <w:jc w:val="left"/>
      </w:pPr>
      <w:r>
        <w:rPr>
          <w:rFonts w:ascii="Calibri" w:cs="Calibri" w:eastAsia="Calibri" w:hAnsi="Calibri"/>
          <w:b/>
          <w:bCs/>
          <w:i w:val="false"/>
          <w:iCs w:val="false"/>
          <w:color w:val="000000"/>
          <w:sz w:val="21"/>
          <w:szCs w:val="21"/>
        </w:rPr>
        <w:t xml:space="preserve">The statewide inference at the bottom of the slide is the final promise of this project: the brownfield-plus-substation siting pattern, the NEMA and SENE LMP advantage, the universal EJ overlay in urban Massachusetts, EFSB jurisdiction, and the five-layer MCE structure all transfer directly to Worcester, Springfield, New Bedford, Fall River, and every other Massachusetts urban county.</w:t>
      </w:r>
      <w:r>
        <w:rPr>
          <w:rFonts w:ascii="Calibri" w:cs="Calibri" w:eastAsia="Calibri" w:hAnsi="Calibri"/>
          <w:b w:val="false"/>
          <w:bCs w:val="false"/>
          <w:i w:val="false"/>
          <w:iCs w:val="false"/>
          <w:color w:val="000000"/>
          <w:sz w:val="21"/>
          <w:szCs w:val="21"/>
        </w:rPr>
        <w:t xml:space="preserve"> Suffolk and Middlesex were the validated proof of concept. The tool was built to generalize.</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D7C7B" w:sz="8" w:space="0"/>
        </w:pBdr>
        <w:spacing w:after="0" w:before="0" w:line="276" w:lineRule="auto"/>
        <w:ind w:left="160"/>
      </w:pPr>
      <w:r>
        <w:rPr>
          <w:rFonts w:ascii="Calibri" w:cs="Calibri" w:eastAsia="Calibri" w:hAnsi="Calibri"/>
          <w:b/>
          <w:bCs/>
          <w:color w:val="0D7C7B"/>
          <w:sz w:val="18"/>
          <w:szCs w:val="18"/>
        </w:rPr>
        <w:t xml:space="preserve">TRANSITION: </w:t>
      </w:r>
      <w:r>
        <w:rPr>
          <w:rFonts w:ascii="Calibri" w:cs="Calibri" w:eastAsia="Calibri" w:hAnsi="Calibri"/>
          <w:i/>
          <w:iCs/>
          <w:color w:val="333333"/>
          <w:sz w:val="18"/>
          <w:szCs w:val="18"/>
        </w:rPr>
        <w:t xml:space="preserve">Advance to Slide 17.</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C68A17"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17</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25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Conclusion — Interconnection, Scale, and the Model-Validated Investment Case</w:t>
            </w:r>
          </w:p>
          <w:p>
            <w:pPr>
              <w:spacing w:after="0" w:before="0" w:line="300" w:lineRule="auto"/>
              <w:jc w:val="left"/>
            </w:pPr>
            <w:r>
              <w:rPr>
                <w:rFonts w:ascii="Calibri" w:cs="Calibri" w:eastAsia="Calibri" w:hAnsi="Calibri"/>
                <w:b/>
                <w:bCs/>
                <w:i w:val="false"/>
                <w:iCs w:val="false"/>
                <w:color w:val="C68A17"/>
                <w:sz w:val="19"/>
                <w:szCs w:val="19"/>
              </w:rPr>
              <w:t xml:space="preserve">Main point: </w:t>
            </w:r>
            <w:r>
              <w:rPr>
                <w:rFonts w:ascii="Calibri" w:cs="Calibri" w:eastAsia="Calibri" w:hAnsi="Calibri"/>
                <w:b w:val="false"/>
                <w:bCs w:val="false"/>
                <w:i/>
                <w:iCs/>
                <w:color w:val="000000"/>
                <w:sz w:val="19"/>
                <w:szCs w:val="19"/>
              </w:rPr>
              <w:t xml:space="preserve">The tool works. The grid is the binding variable. Chelsea invests now; Everett needs contracted revenue. Both need Section 83E.</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The quote on this slide is the thesis of everything we have presented: </w:t>
      </w:r>
      <w:r>
        <w:rPr>
          <w:rFonts w:ascii="Calibri" w:cs="Calibri" w:eastAsia="Calibri" w:hAnsi="Calibri"/>
          <w:b/>
          <w:bCs/>
          <w:i w:val="false"/>
          <w:iCs w:val="false"/>
          <w:color w:val="000000"/>
          <w:sz w:val="21"/>
          <w:szCs w:val="21"/>
        </w:rPr>
        <w:t xml:space="preserve">'We built a tool to fix how BESS sites are selected — then tested it on Chelsea and Everett to show what is actually investable and why.'</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Three columns, three conclusions. </w:t>
      </w:r>
      <w:r>
        <w:rPr>
          <w:rFonts w:ascii="Calibri" w:cs="Calibri" w:eastAsia="Calibri" w:hAnsi="Calibri"/>
          <w:b/>
          <w:bCs/>
          <w:i w:val="false"/>
          <w:iCs w:val="false"/>
          <w:color w:val="000000"/>
          <w:sz w:val="21"/>
          <w:szCs w:val="21"/>
        </w:rPr>
        <w:t xml:space="preserve">On interconnection: Everett's $2 million feeder connection is low-risk but limits scale to 15 megawatts. Chelsea's $12 million substation upgrade is the dominant financial risk — every additional million dollars reduces NPV by $1.7 million. Interconnection pre-applications to Eversource for both sites are the immediate next step.</w:t>
      </w:r>
    </w:p>
    <w:p>
      <w:pPr>
        <w:spacing w:after="100" w:before="0" w:line="300" w:lineRule="auto"/>
        <w:jc w:val="left"/>
      </w:pPr>
      <w:r>
        <w:rPr>
          <w:rFonts w:ascii="Calibri" w:cs="Calibri" w:eastAsia="Calibri" w:hAnsi="Calibri"/>
          <w:b/>
          <w:bCs/>
          <w:i w:val="false"/>
          <w:iCs w:val="false"/>
          <w:color w:val="000000"/>
          <w:sz w:val="21"/>
          <w:szCs w:val="21"/>
        </w:rPr>
        <w:t xml:space="preserve">On scale and financial returns: Chelsea at 100 megawatts and 400 megawatt-hours produces positive NPV and an unlevered IRR of 8.84% — improving to 12 to 15% equity IRR with debt leverage. Everett at 15 megawatts produces negative NPV at merchant revenue and requires either $150 per kilowatt per year in revenue or 50% ITC to turn viable.</w:t>
      </w:r>
    </w:p>
    <w:p>
      <w:pPr>
        <w:spacing w:after="100" w:before="0" w:line="300" w:lineRule="auto"/>
        <w:jc w:val="left"/>
      </w:pPr>
      <w:r>
        <w:rPr>
          <w:rFonts w:ascii="Calibri" w:cs="Calibri" w:eastAsia="Calibri" w:hAnsi="Calibri"/>
          <w:b/>
          <w:bCs/>
          <w:i w:val="false"/>
          <w:iCs w:val="false"/>
          <w:color w:val="000000"/>
          <w:sz w:val="21"/>
          <w:szCs w:val="21"/>
        </w:rPr>
        <w:t xml:space="preserve">On next steps: interconnection pre-applications, Section 83E Round 2 bid preparation for Chelsea, ITC qualification confirmation, and expansion of the financial model to Worcester, Bristol, and Hampden Counties using the same interconnection-first methodology.</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C68A17" w:sz="8" w:space="0"/>
        </w:pBdr>
        <w:spacing w:after="0" w:before="0" w:line="276" w:lineRule="auto"/>
        <w:ind w:left="160"/>
      </w:pPr>
      <w:r>
        <w:rPr>
          <w:rFonts w:ascii="Calibri" w:cs="Calibri" w:eastAsia="Calibri" w:hAnsi="Calibri"/>
          <w:b/>
          <w:bCs/>
          <w:color w:val="C68A17"/>
          <w:sz w:val="18"/>
          <w:szCs w:val="18"/>
        </w:rPr>
        <w:t xml:space="preserve">TRANSITION: </w:t>
      </w:r>
      <w:r>
        <w:rPr>
          <w:rFonts w:ascii="Calibri" w:cs="Calibri" w:eastAsia="Calibri" w:hAnsi="Calibri"/>
          <w:i/>
          <w:iCs/>
          <w:color w:val="333333"/>
          <w:sz w:val="18"/>
          <w:szCs w:val="18"/>
        </w:rPr>
        <w:t xml:space="preserve">Advance to Slide 18.</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E2040"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18</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20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The Bottom Line: Four Takeaways for This Audience</w:t>
            </w:r>
          </w:p>
          <w:p>
            <w:pPr>
              <w:spacing w:after="0" w:before="0" w:line="300" w:lineRule="auto"/>
              <w:jc w:val="left"/>
            </w:pPr>
            <w:r>
              <w:rPr>
                <w:rFonts w:ascii="Calibri" w:cs="Calibri" w:eastAsia="Calibri" w:hAnsi="Calibri"/>
                <w:b/>
                <w:bCs/>
                <w:i w:val="false"/>
                <w:iCs w:val="false"/>
                <w:color w:val="0E2040"/>
                <w:sz w:val="19"/>
                <w:szCs w:val="19"/>
              </w:rPr>
              <w:t xml:space="preserve">Main point: </w:t>
            </w:r>
            <w:r>
              <w:rPr>
                <w:rFonts w:ascii="Calibri" w:cs="Calibri" w:eastAsia="Calibri" w:hAnsi="Calibri"/>
                <w:b w:val="false"/>
                <w:bCs w:val="false"/>
                <w:i/>
                <w:iCs/>
                <w:color w:val="000000"/>
                <w:sz w:val="19"/>
                <w:szCs w:val="19"/>
              </w:rPr>
              <w:t xml:space="preserve">Four numbered conclusions — memorizable, shareable, actionable.</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bCs/>
          <w:i w:val="false"/>
          <w:iCs w:val="false"/>
          <w:color w:val="000000"/>
          <w:sz w:val="21"/>
          <w:szCs w:val="21"/>
        </w:rPr>
        <w:t xml:space="preserve">One: the tool works, and it selected the right sites.</w:t>
      </w:r>
      <w:r>
        <w:rPr>
          <w:rFonts w:ascii="Calibri" w:cs="Calibri" w:eastAsia="Calibri" w:hAnsi="Calibri"/>
          <w:b w:val="false"/>
          <w:bCs w:val="false"/>
          <w:i w:val="false"/>
          <w:iCs w:val="false"/>
          <w:color w:val="000000"/>
          <w:sz w:val="21"/>
          <w:szCs w:val="21"/>
        </w:rPr>
        <w:t xml:space="preserve"> Five-layer MCE scoring across thirteen municipalities produced two sites whose financial profiles were independently confirmed by project-level models. The framework is replicable in any Massachusetts county.</w:t>
      </w:r>
    </w:p>
    <w:p>
      <w:pPr>
        <w:spacing w:after="100" w:before="0" w:line="300" w:lineRule="auto"/>
        <w:jc w:val="left"/>
      </w:pPr>
      <w:r>
        <w:rPr>
          <w:rFonts w:ascii="Calibri" w:cs="Calibri" w:eastAsia="Calibri" w:hAnsi="Calibri"/>
          <w:b/>
          <w:bCs/>
          <w:i w:val="false"/>
          <w:iCs w:val="false"/>
          <w:color w:val="000000"/>
          <w:sz w:val="21"/>
          <w:szCs w:val="21"/>
        </w:rPr>
        <w:t xml:space="preserve">Two: grid hosting capacity is the binding variable, not land.</w:t>
      </w:r>
      <w:r>
        <w:rPr>
          <w:rFonts w:ascii="Calibri" w:cs="Calibri" w:eastAsia="Calibri" w:hAnsi="Calibri"/>
          <w:b w:val="false"/>
          <w:bCs w:val="false"/>
          <w:i w:val="false"/>
          <w:iCs w:val="false"/>
          <w:color w:val="000000"/>
          <w:sz w:val="21"/>
          <w:szCs w:val="21"/>
        </w:rPr>
        <w:t xml:space="preserve"> This is the most operationally important finding. The MCE tool's Layer Two must precede Layer Four in any siting workflow. Sites near high-capacity substations on brownfield parcels are the priority profile across the Commonwealth.</w:t>
      </w:r>
    </w:p>
    <w:p>
      <w:pPr>
        <w:spacing w:after="100" w:before="0" w:line="300" w:lineRule="auto"/>
        <w:jc w:val="left"/>
      </w:pPr>
      <w:r>
        <w:rPr>
          <w:rFonts w:ascii="Calibri" w:cs="Calibri" w:eastAsia="Calibri" w:hAnsi="Calibri"/>
          <w:b/>
          <w:bCs/>
          <w:i w:val="false"/>
          <w:iCs w:val="false"/>
          <w:color w:val="000000"/>
          <w:sz w:val="21"/>
          <w:szCs w:val="21"/>
        </w:rPr>
        <w:t xml:space="preserve">Three: Chelsea is the stronger near-term investment. Everett needs contracted revenue.</w:t>
      </w:r>
      <w:r>
        <w:rPr>
          <w:rFonts w:ascii="Calibri" w:cs="Calibri" w:eastAsia="Calibri" w:hAnsi="Calibri"/>
          <w:b w:val="false"/>
          <w:bCs w:val="false"/>
          <w:i w:val="false"/>
          <w:iCs w:val="false"/>
          <w:color w:val="000000"/>
          <w:sz w:val="21"/>
          <w:szCs w:val="21"/>
        </w:rPr>
        <w:t xml:space="preserve"> A higher MCE score does not equal a better investment. Chelsea at score 113 produces positive NPV and leverage upside. Everett at score 119 requires Section 83E or ITC improvement to clear the investment threshold.</w:t>
      </w:r>
    </w:p>
    <w:p>
      <w:pPr>
        <w:spacing w:after="100" w:before="0" w:line="300" w:lineRule="auto"/>
        <w:jc w:val="left"/>
      </w:pPr>
      <w:r>
        <w:rPr>
          <w:rFonts w:ascii="Calibri" w:cs="Calibri" w:eastAsia="Calibri" w:hAnsi="Calibri"/>
          <w:b/>
          <w:bCs/>
          <w:i w:val="false"/>
          <w:iCs w:val="false"/>
          <w:color w:val="000000"/>
          <w:sz w:val="21"/>
          <w:szCs w:val="21"/>
        </w:rPr>
        <w:t xml:space="preserve">Four: this tool de-risks investment decisions that Massachusetts needs made at scale, now.</w:t>
      </w:r>
      <w:r>
        <w:rPr>
          <w:rFonts w:ascii="Calibri" w:cs="Calibri" w:eastAsia="Calibri" w:hAnsi="Calibri"/>
          <w:b w:val="false"/>
          <w:bCs w:val="false"/>
          <w:i w:val="false"/>
          <w:iCs w:val="false"/>
          <w:color w:val="000000"/>
          <w:sz w:val="21"/>
          <w:szCs w:val="21"/>
        </w:rPr>
        <w:t xml:space="preserve"> The 5,000 megawatt mandate requires approximately eighty-five projects the size of Chelsea to be completed by July 2030. The tool compresses the siting timeline, embeds EJ and CIA compliance before capital is committed, surfaces interconnection risk early, and identifies the revenue mechanisms that make projects bankable.</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left w:val="single" w:color="0E2040" w:sz="8" w:space="0"/>
        </w:pBdr>
        <w:spacing w:after="0" w:before="0" w:line="276" w:lineRule="auto"/>
        <w:ind w:left="160"/>
      </w:pPr>
      <w:r>
        <w:rPr>
          <w:rFonts w:ascii="Calibri" w:cs="Calibri" w:eastAsia="Calibri" w:hAnsi="Calibri"/>
          <w:b/>
          <w:bCs/>
          <w:color w:val="0E2040"/>
          <w:sz w:val="18"/>
          <w:szCs w:val="18"/>
        </w:rPr>
        <w:t xml:space="preserve">TRANSITION: </w:t>
      </w:r>
      <w:r>
        <w:rPr>
          <w:rFonts w:ascii="Calibri" w:cs="Calibri" w:eastAsia="Calibri" w:hAnsi="Calibri"/>
          <w:i/>
          <w:iCs/>
          <w:color w:val="333333"/>
          <w:sz w:val="18"/>
          <w:szCs w:val="18"/>
        </w:rPr>
        <w:t xml:space="preserve">Advance to Slide 19.</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200"/>
        <w:gridCol w:w="6872"/>
      </w:tblGrid>
      <w:tr>
        <w:tc>
          <w:tcPr>
            <w:tcW w:type="dxa" w:w="2200"/>
            <w:tcBorders>
              <w:top w:val="none" w:color="FFFFFF" w:sz="0" w:space="0"/>
              <w:left w:val="none" w:color="FFFFFF" w:sz="0" w:space="0"/>
              <w:bottom w:val="none" w:color="FFFFFF" w:sz="0" w:space="0"/>
              <w:right w:val="none" w:color="FFFFFF" w:sz="0" w:space="0"/>
            </w:tcBorders>
            <w:shd w:fill="0D7C7B" w:color="auto" w:val="clear"/>
            <w:tcMar>
              <w:top w:type="dxa" w:w="100"/>
              <w:left w:type="dxa" w:w="140"/>
              <w:bottom w:type="dxa" w:w="100"/>
              <w:right w:type="dxa" w:w="100"/>
            </w:tcMar>
            <w:vAlign w:val="center"/>
          </w:tcPr>
          <w:p>
            <w:pPr>
              <w:spacing w:after="16" w:before="0" w:line="288" w:lineRule="auto"/>
              <w:jc w:val="center"/>
            </w:pPr>
            <w:r>
              <w:rPr>
                <w:rFonts w:ascii="Calibri" w:cs="Calibri" w:eastAsia="Calibri" w:hAnsi="Calibri"/>
                <w:b/>
                <w:bCs/>
                <w:i w:val="false"/>
                <w:iCs w:val="false"/>
                <w:color w:val="FFFFFF"/>
                <w:sz w:val="19"/>
                <w:szCs w:val="19"/>
              </w:rPr>
              <w:t xml:space="preserve">SLIDE 19</w:t>
            </w:r>
          </w:p>
          <w:p>
            <w:pPr>
              <w:spacing w:after="0" w:before="0" w:line="288" w:lineRule="auto"/>
              <w:jc w:val="center"/>
            </w:pPr>
            <w:r>
              <w:rPr>
                <w:rFonts w:ascii="Calibri" w:cs="Calibri" w:eastAsia="Calibri" w:hAnsi="Calibri"/>
                <w:b w:val="false"/>
                <w:bCs w:val="false"/>
                <w:i w:val="false"/>
                <w:iCs w:val="false"/>
                <w:color w:val="DDDDDD"/>
                <w:sz w:val="14"/>
                <w:szCs w:val="14"/>
              </w:rPr>
              <w:t xml:space="preserve">15 sec  ·  Half 2</w:t>
            </w:r>
          </w:p>
        </w:tc>
        <w:tc>
          <w:tcPr>
            <w:tcW w:type="dxa" w:w="6872"/>
            <w:tcBorders>
              <w:top w:val="none" w:color="FFFFFF" w:sz="0" w:space="0"/>
              <w:left w:val="none" w:color="FFFFFF" w:sz="0" w:space="0"/>
              <w:bottom w:val="none" w:color="FFFFFF" w:sz="0" w:space="0"/>
              <w:right w:val="none" w:color="FFFFFF" w:sz="0" w:space="0"/>
            </w:tcBorders>
            <w:shd w:fill="F5F5F5" w:color="auto" w:val="clear"/>
            <w:tcMar>
              <w:top w:type="dxa" w:w="80"/>
              <w:left w:type="dxa" w:w="180"/>
              <w:bottom w:type="dxa" w:w="80"/>
              <w:right w:type="dxa" w:w="80"/>
            </w:tcMar>
          </w:tcPr>
          <w:p>
            <w:pPr>
              <w:spacing w:after="40" w:before="0" w:line="288" w:lineRule="auto"/>
              <w:jc w:val="left"/>
            </w:pPr>
            <w:r>
              <w:rPr>
                <w:rFonts w:ascii="Calibri" w:cs="Calibri" w:eastAsia="Calibri" w:hAnsi="Calibri"/>
                <w:b/>
                <w:bCs/>
                <w:i w:val="false"/>
                <w:iCs w:val="false"/>
                <w:color w:val="000000"/>
                <w:sz w:val="20"/>
                <w:szCs w:val="20"/>
              </w:rPr>
              <w:t xml:space="preserve">Questions &amp; Discussion</w:t>
            </w:r>
          </w:p>
          <w:p>
            <w:pPr>
              <w:spacing w:after="0" w:before="0" w:line="300" w:lineRule="auto"/>
              <w:jc w:val="left"/>
            </w:pPr>
            <w:r>
              <w:rPr>
                <w:rFonts w:ascii="Calibri" w:cs="Calibri" w:eastAsia="Calibri" w:hAnsi="Calibri"/>
                <w:b/>
                <w:bCs/>
                <w:i w:val="false"/>
                <w:iCs w:val="false"/>
                <w:color w:val="0D7C7B"/>
                <w:sz w:val="19"/>
                <w:szCs w:val="19"/>
              </w:rPr>
              <w:t xml:space="preserve">Main point: </w:t>
            </w:r>
            <w:r>
              <w:rPr>
                <w:rFonts w:ascii="Calibri" w:cs="Calibri" w:eastAsia="Calibri" w:hAnsi="Calibri"/>
                <w:b w:val="false"/>
                <w:bCs w:val="false"/>
                <w:i/>
                <w:iCs/>
                <w:color w:val="000000"/>
                <w:sz w:val="19"/>
                <w:szCs w:val="19"/>
              </w:rPr>
              <w:t xml:space="preserve">Open the floor. Four suggested discussion areas are on the slide to guide the conversation if needed.</w:t>
            </w:r>
          </w:p>
        </w:tc>
      </w:tr>
    </w:tbl>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CCCCCC" w:sz="1" w:space="1"/>
        </w:pBdr>
        <w:spacing w:after="40" w:before="0" w:line="288" w:lineRule="auto"/>
        <w:jc w:val="left"/>
      </w:pPr>
      <w:r>
        <w:rPr>
          <w:rFonts w:ascii="Calibri" w:cs="Calibri" w:eastAsia="Calibri" w:hAnsi="Calibri"/>
          <w:b/>
          <w:bCs/>
          <w:i w:val="false"/>
          <w:iCs w:val="false"/>
          <w:color w:val="888888"/>
          <w:sz w:val="15"/>
          <w:szCs w:val="15"/>
        </w:rPr>
        <w:t xml:space="preserve">SCRIPT</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Thank you. We are happy to go wherever the conversation takes us. The slide suggests four areas we are prepared to go deep on: </w:t>
      </w:r>
      <w:r>
        <w:rPr>
          <w:rFonts w:ascii="Calibri" w:cs="Calibri" w:eastAsia="Calibri" w:hAnsi="Calibri"/>
          <w:b/>
          <w:bCs/>
          <w:i w:val="false"/>
          <w:iCs w:val="false"/>
          <w:color w:val="000000"/>
          <w:sz w:val="21"/>
          <w:szCs w:val="21"/>
        </w:rPr>
        <w:t xml:space="preserve">interconnection pre-application strategy for both sites, Section 83E Round 2 bid positioning for the Chelsea 100-megawatt project, ITC qualification and the energy community bonus, and expanding the five-layer MCE framework to Worcester, Bristol, and Hampden Counties.</w:t>
      </w:r>
    </w:p>
    <w:p>
      <w:pPr>
        <w:spacing w:after="100" w:before="0" w:line="300" w:lineRule="auto"/>
        <w:jc w:val="left"/>
      </w:pPr>
      <w:r>
        <w:rPr>
          <w:rFonts w:ascii="Calibri" w:cs="Calibri" w:eastAsia="Calibri" w:hAnsi="Calibri"/>
          <w:b w:val="false"/>
          <w:bCs w:val="false"/>
          <w:i w:val="false"/>
          <w:iCs w:val="false"/>
          <w:color w:val="000000"/>
          <w:sz w:val="21"/>
          <w:szCs w:val="21"/>
        </w:rPr>
        <w:t xml:space="preserve">Any questions — on the tool, the methodology, the sites, the financials, or what it would take to build the next version — we are ready.</w:t>
      </w:r>
    </w:p>
    <w:p>
      <w:pPr>
        <w:pBdr>
          <w:left w:val="single" w:color="C68A17" w:sz="8" w:space="0"/>
        </w:pBdr>
        <w:shd w:fill="FFF9E6" w:color="auto" w:val="clear"/>
        <w:spacing w:after="40" w:before="40" w:line="276" w:lineRule="auto"/>
        <w:ind w:left="160"/>
      </w:pPr>
      <w:r>
        <w:rPr>
          <w:rFonts w:ascii="Calibri" w:cs="Calibri" w:eastAsia="Calibri" w:hAnsi="Calibri"/>
          <w:b w:val="false"/>
          <w:bCs w:val="false"/>
          <w:i/>
          <w:iCs/>
          <w:color w:val="7A5A00"/>
          <w:sz w:val="18"/>
          <w:szCs w:val="18"/>
        </w:rPr>
        <w:t xml:space="preserve">▶  PRESENTER NOTE: If no questions come immediately: 'Let me start us off with one of the most common questions we've received: Why Chelsea over Everett given the higher score?' Then answer with the NPV contrast.</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bottom w:val="single" w:color="999999" w:sz="3" w:space="0"/>
        </w:pBdr>
        <w:spacing w:after="80" w:before="80"/>
      </w:pPr>
      <w:r>
        <w:rPr>
          <w:rFonts w:ascii="Calibri" w:cs="Calibri" w:eastAsia="Calibri" w:hAnsi="Calibri"/>
          <w:b w:val="false"/>
          <w:bCs w:val="false"/>
          <w:i w:val="false"/>
          <w:iCs w:val="false"/>
          <w:color w:val="000000"/>
          <w:sz w:val="4"/>
          <w:szCs w:val="4"/>
        </w:rPr>
        <w:t xml:space="preserve"/>
      </w:r>
    </w:p>
    <w:p>
      <w:r>
        <w:br w:type="page"/>
      </w:r>
    </w:p>
    <w:p>
      <w:pPr>
        <w:pBdr>
          <w:bottom w:val="single" w:color="000000" w:sz="6" w:space="2"/>
        </w:pBdr>
        <w:spacing w:after="100" w:before="0" w:line="288" w:lineRule="auto"/>
        <w:jc w:val="left"/>
      </w:pPr>
      <w:r>
        <w:rPr>
          <w:rFonts w:ascii="Calibri" w:cs="Calibri" w:eastAsia="Calibri" w:hAnsi="Calibri"/>
          <w:b/>
          <w:bCs/>
          <w:i w:val="false"/>
          <w:iCs w:val="false"/>
          <w:color w:val="000000"/>
          <w:sz w:val="26"/>
          <w:szCs w:val="26"/>
        </w:rPr>
        <w:t xml:space="preserve">ACRONYM MASTER REFERENCE</w:t>
      </w:r>
    </w:p>
    <w:p>
      <w:pPr>
        <w:spacing w:after="80" w:before="0" w:line="288" w:lineRule="auto"/>
        <w:jc w:val="left"/>
      </w:pPr>
      <w:r>
        <w:rPr>
          <w:rFonts w:ascii="Calibri" w:cs="Calibri" w:eastAsia="Calibri" w:hAnsi="Calibri"/>
          <w:b w:val="false"/>
          <w:bCs w:val="false"/>
          <w:i/>
          <w:iCs/>
          <w:color w:val="444444"/>
          <w:sz w:val="19"/>
          <w:szCs w:val="19"/>
        </w:rPr>
        <w:t xml:space="preserve">All acronyms used in this presentation, in order of first appearance. Each was defined exactly once in the script above.</w:t>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1100"/>
        <w:gridCol w:w="2800"/>
        <w:gridCol w:w="1400"/>
        <w:gridCol w:w="3772"/>
      </w:tblGrid>
      <w:tr>
        <w:trPr>
          <w:tblHeader/>
        </w:trPr>
        <w:tc>
          <w:tcPr>
            <w:tcW w:type="dxa" w:w="1100"/>
            <w:tcBorders>
              <w:top w:val="single" w:color="888888" w:sz="1" w:space="0"/>
              <w:left w:val="single" w:color="888888" w:sz="1" w:space="0"/>
              <w:bottom w:val="single" w:color="888888" w:sz="1" w:space="0"/>
              <w:right w:val="single" w:color="888888" w:sz="1" w:space="0"/>
            </w:tcBorders>
            <w:shd w:fill="0E2040" w:color="auto" w:val="clear"/>
            <w:tcMar>
              <w:top w:type="dxa" w:w="70"/>
              <w:left w:type="dxa" w:w="100"/>
              <w:bottom w:type="dxa" w:w="70"/>
              <w:right w:type="dxa" w:w="80"/>
            </w:tcMar>
          </w:tcPr>
          <w:p>
            <w:pPr>
              <w:spacing w:after="0" w:before="0" w:line="288" w:lineRule="auto"/>
              <w:jc w:val="left"/>
            </w:pPr>
            <w:r>
              <w:rPr>
                <w:rFonts w:ascii="Calibri" w:cs="Calibri" w:eastAsia="Calibri" w:hAnsi="Calibri"/>
                <w:b/>
                <w:bCs/>
                <w:i w:val="false"/>
                <w:iCs w:val="false"/>
                <w:color w:val="FFFFFF"/>
                <w:sz w:val="18"/>
                <w:szCs w:val="18"/>
              </w:rPr>
              <w:t xml:space="preserve">Acronym</w:t>
            </w:r>
          </w:p>
        </w:tc>
        <w:tc>
          <w:tcPr>
            <w:tcW w:type="dxa" w:w="2800"/>
            <w:tcBorders>
              <w:top w:val="single" w:color="888888" w:sz="1" w:space="0"/>
              <w:left w:val="single" w:color="888888" w:sz="1" w:space="0"/>
              <w:bottom w:val="single" w:color="888888" w:sz="1" w:space="0"/>
              <w:right w:val="single" w:color="888888" w:sz="1" w:space="0"/>
            </w:tcBorders>
            <w:shd w:fill="0E2040" w:color="auto" w:val="clear"/>
            <w:tcMar>
              <w:top w:type="dxa" w:w="70"/>
              <w:left w:type="dxa" w:w="100"/>
              <w:bottom w:type="dxa" w:w="70"/>
              <w:right w:type="dxa" w:w="80"/>
            </w:tcMar>
          </w:tcPr>
          <w:p>
            <w:pPr>
              <w:spacing w:after="0" w:before="0" w:line="288" w:lineRule="auto"/>
              <w:jc w:val="left"/>
            </w:pPr>
            <w:r>
              <w:rPr>
                <w:rFonts w:ascii="Calibri" w:cs="Calibri" w:eastAsia="Calibri" w:hAnsi="Calibri"/>
                <w:b/>
                <w:bCs/>
                <w:i w:val="false"/>
                <w:iCs w:val="false"/>
                <w:color w:val="FFFFFF"/>
                <w:sz w:val="18"/>
                <w:szCs w:val="18"/>
              </w:rPr>
              <w:t xml:space="preserve">Full Form</w:t>
            </w:r>
          </w:p>
        </w:tc>
        <w:tc>
          <w:tcPr>
            <w:tcW w:type="dxa" w:w="1400"/>
            <w:tcBorders>
              <w:top w:val="single" w:color="888888" w:sz="1" w:space="0"/>
              <w:left w:val="single" w:color="888888" w:sz="1" w:space="0"/>
              <w:bottom w:val="single" w:color="888888" w:sz="1" w:space="0"/>
              <w:right w:val="single" w:color="888888" w:sz="1" w:space="0"/>
            </w:tcBorders>
            <w:shd w:fill="0E2040" w:color="auto" w:val="clear"/>
            <w:tcMar>
              <w:top w:type="dxa" w:w="70"/>
              <w:left w:type="dxa" w:w="100"/>
              <w:bottom w:type="dxa" w:w="70"/>
              <w:right w:type="dxa" w:w="80"/>
            </w:tcMar>
          </w:tcPr>
          <w:p>
            <w:pPr>
              <w:spacing w:after="0" w:before="0" w:line="288" w:lineRule="auto"/>
              <w:jc w:val="center"/>
            </w:pPr>
            <w:r>
              <w:rPr>
                <w:rFonts w:ascii="Calibri" w:cs="Calibri" w:eastAsia="Calibri" w:hAnsi="Calibri"/>
                <w:b/>
                <w:bCs/>
                <w:i w:val="false"/>
                <w:iCs w:val="false"/>
                <w:color w:val="FFFFFF"/>
                <w:sz w:val="18"/>
                <w:szCs w:val="18"/>
              </w:rPr>
              <w:t xml:space="preserve">Defined at</w:t>
            </w:r>
          </w:p>
        </w:tc>
        <w:tc>
          <w:tcPr>
            <w:tcW w:type="dxa" w:w="3772"/>
            <w:tcBorders>
              <w:top w:val="single" w:color="888888" w:sz="1" w:space="0"/>
              <w:left w:val="single" w:color="888888" w:sz="1" w:space="0"/>
              <w:bottom w:val="single" w:color="888888" w:sz="1" w:space="0"/>
              <w:right w:val="single" w:color="888888" w:sz="1" w:space="0"/>
            </w:tcBorders>
            <w:shd w:fill="0E2040" w:color="auto" w:val="clear"/>
            <w:tcMar>
              <w:top w:type="dxa" w:w="70"/>
              <w:left w:type="dxa" w:w="100"/>
              <w:bottom w:type="dxa" w:w="70"/>
              <w:right w:type="dxa" w:w="80"/>
            </w:tcMar>
          </w:tcPr>
          <w:p>
            <w:pPr>
              <w:spacing w:after="0" w:before="0" w:line="288" w:lineRule="auto"/>
              <w:jc w:val="left"/>
            </w:pPr>
            <w:r>
              <w:rPr>
                <w:rFonts w:ascii="Calibri" w:cs="Calibri" w:eastAsia="Calibri" w:hAnsi="Calibri"/>
                <w:b/>
                <w:bCs/>
                <w:i w:val="false"/>
                <w:iCs w:val="false"/>
                <w:color w:val="FFFFFF"/>
                <w:sz w:val="18"/>
                <w:szCs w:val="18"/>
              </w:rPr>
              <w:t xml:space="preserve">Used After As</w:t>
            </w:r>
          </w:p>
        </w:tc>
      </w:tr>
      <w:tr>
        <w:tc>
          <w:tcPr>
            <w:tcW w:type="dxa" w:w="11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BESS</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Battery Energy Storage System</w:t>
            </w:r>
          </w:p>
        </w:tc>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3</w:t>
            </w:r>
          </w:p>
        </w:tc>
        <w:tc>
          <w:tcPr>
            <w:tcW w:type="dxa" w:w="37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BESS only</w:t>
            </w:r>
          </w:p>
        </w:tc>
      </w:tr>
      <w:tr>
        <w:tc>
          <w:tcPr>
            <w:tcW w:type="dxa" w:w="11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EJ</w:t>
            </w:r>
          </w:p>
        </w:tc>
        <w:tc>
          <w:tcPr>
            <w:tcW w:type="dxa" w:w="28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Environmental Justice</w:t>
            </w:r>
          </w:p>
        </w:tc>
        <w:tc>
          <w:tcPr>
            <w:tcW w:type="dxa" w:w="14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3</w:t>
            </w:r>
          </w:p>
        </w:tc>
        <w:tc>
          <w:tcPr>
            <w:tcW w:type="dxa" w:w="37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EJ only</w:t>
            </w:r>
          </w:p>
        </w:tc>
      </w:tr>
      <w:tr>
        <w:tc>
          <w:tcPr>
            <w:tcW w:type="dxa" w:w="11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MCE</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Multi-Criteria Evaluation</w:t>
            </w:r>
          </w:p>
        </w:tc>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4</w:t>
            </w:r>
          </w:p>
        </w:tc>
        <w:tc>
          <w:tcPr>
            <w:tcW w:type="dxa" w:w="37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MCE only</w:t>
            </w:r>
          </w:p>
        </w:tc>
      </w:tr>
      <w:tr>
        <w:tc>
          <w:tcPr>
            <w:tcW w:type="dxa" w:w="11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CIA</w:t>
            </w:r>
          </w:p>
        </w:tc>
        <w:tc>
          <w:tcPr>
            <w:tcW w:type="dxa" w:w="28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Cumulative Impact Analysis</w:t>
            </w:r>
          </w:p>
        </w:tc>
        <w:tc>
          <w:tcPr>
            <w:tcW w:type="dxa" w:w="14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5</w:t>
            </w:r>
          </w:p>
        </w:tc>
        <w:tc>
          <w:tcPr>
            <w:tcW w:type="dxa" w:w="37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CIA only</w:t>
            </w:r>
          </w:p>
        </w:tc>
      </w:tr>
      <w:tr>
        <w:tc>
          <w:tcPr>
            <w:tcW w:type="dxa" w:w="11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EFSB</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Energy Facilities Siting Board</w:t>
            </w:r>
          </w:p>
        </w:tc>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5</w:t>
            </w:r>
          </w:p>
        </w:tc>
        <w:tc>
          <w:tcPr>
            <w:tcW w:type="dxa" w:w="37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EFSB only</w:t>
            </w:r>
          </w:p>
        </w:tc>
      </w:tr>
      <w:tr>
        <w:tc>
          <w:tcPr>
            <w:tcW w:type="dxa" w:w="11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MassDOER</w:t>
            </w:r>
          </w:p>
        </w:tc>
        <w:tc>
          <w:tcPr>
            <w:tcW w:type="dxa" w:w="28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Massachusetts Department of Energy Resources</w:t>
            </w:r>
          </w:p>
        </w:tc>
        <w:tc>
          <w:tcPr>
            <w:tcW w:type="dxa" w:w="14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6</w:t>
            </w:r>
          </w:p>
        </w:tc>
        <w:tc>
          <w:tcPr>
            <w:tcW w:type="dxa" w:w="37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MassDOER only</w:t>
            </w:r>
          </w:p>
        </w:tc>
      </w:tr>
      <w:tr>
        <w:tc>
          <w:tcPr>
            <w:tcW w:type="dxa" w:w="11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ISO-NE</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ISO New England</w:t>
            </w:r>
          </w:p>
        </w:tc>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6</w:t>
            </w:r>
          </w:p>
        </w:tc>
        <w:tc>
          <w:tcPr>
            <w:tcW w:type="dxa" w:w="37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ISO-NE only</w:t>
            </w:r>
          </w:p>
        </w:tc>
      </w:tr>
      <w:tr>
        <w:tc>
          <w:tcPr>
            <w:tcW w:type="dxa" w:w="11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LMP</w:t>
            </w:r>
          </w:p>
        </w:tc>
        <w:tc>
          <w:tcPr>
            <w:tcW w:type="dxa" w:w="28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Locational Marginal Price</w:t>
            </w:r>
          </w:p>
        </w:tc>
        <w:tc>
          <w:tcPr>
            <w:tcW w:type="dxa" w:w="14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6</w:t>
            </w:r>
          </w:p>
        </w:tc>
        <w:tc>
          <w:tcPr>
            <w:tcW w:type="dxa" w:w="37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LMP only</w:t>
            </w:r>
          </w:p>
        </w:tc>
      </w:tr>
      <w:tr>
        <w:tc>
          <w:tcPr>
            <w:tcW w:type="dxa" w:w="11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FCM / FCA</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Forward Capacity Market / Forward Capacity Auction</w:t>
            </w:r>
          </w:p>
        </w:tc>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8</w:t>
            </w:r>
          </w:p>
        </w:tc>
        <w:tc>
          <w:tcPr>
            <w:tcW w:type="dxa" w:w="37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FCM / FCA only</w:t>
            </w:r>
          </w:p>
        </w:tc>
      </w:tr>
      <w:tr>
        <w:tc>
          <w:tcPr>
            <w:tcW w:type="dxa" w:w="11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CPS / CPEC</w:t>
            </w:r>
          </w:p>
        </w:tc>
        <w:tc>
          <w:tcPr>
            <w:tcW w:type="dxa" w:w="28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Clean Peak Standard / Clean Peak Energy Certificate</w:t>
            </w:r>
          </w:p>
        </w:tc>
        <w:tc>
          <w:tcPr>
            <w:tcW w:type="dxa" w:w="14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8</w:t>
            </w:r>
          </w:p>
        </w:tc>
        <w:tc>
          <w:tcPr>
            <w:tcW w:type="dxa" w:w="37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CPS / CPEC only</w:t>
            </w:r>
          </w:p>
        </w:tc>
      </w:tr>
      <w:tr>
        <w:tc>
          <w:tcPr>
            <w:tcW w:type="dxa" w:w="11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NREL</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National Renewable Energy Laboratory</w:t>
            </w:r>
          </w:p>
        </w:tc>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9</w:t>
            </w:r>
          </w:p>
        </w:tc>
        <w:tc>
          <w:tcPr>
            <w:tcW w:type="dxa" w:w="37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NREL only</w:t>
            </w:r>
          </w:p>
        </w:tc>
      </w:tr>
      <w:tr>
        <w:tc>
          <w:tcPr>
            <w:tcW w:type="dxa" w:w="11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ITC</w:t>
            </w:r>
          </w:p>
        </w:tc>
        <w:tc>
          <w:tcPr>
            <w:tcW w:type="dxa" w:w="28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Investment Tax Credit</w:t>
            </w:r>
          </w:p>
        </w:tc>
        <w:tc>
          <w:tcPr>
            <w:tcW w:type="dxa" w:w="14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9</w:t>
            </w:r>
          </w:p>
        </w:tc>
        <w:tc>
          <w:tcPr>
            <w:tcW w:type="dxa" w:w="37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ITC only</w:t>
            </w:r>
          </w:p>
        </w:tc>
      </w:tr>
      <w:tr>
        <w:tc>
          <w:tcPr>
            <w:tcW w:type="dxa" w:w="11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SMART</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Solar Massachusetts Renewable Target</w:t>
            </w:r>
          </w:p>
        </w:tc>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9</w:t>
            </w:r>
          </w:p>
        </w:tc>
        <w:tc>
          <w:tcPr>
            <w:tcW w:type="dxa" w:w="37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SMART only</w:t>
            </w:r>
          </w:p>
        </w:tc>
      </w:tr>
      <w:tr>
        <w:tc>
          <w:tcPr>
            <w:tcW w:type="dxa" w:w="11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SENE</w:t>
            </w:r>
          </w:p>
        </w:tc>
        <w:tc>
          <w:tcPr>
            <w:tcW w:type="dxa" w:w="28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Southeast New England Capacity Zone</w:t>
            </w:r>
          </w:p>
        </w:tc>
        <w:tc>
          <w:tcPr>
            <w:tcW w:type="dxa" w:w="14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9</w:t>
            </w:r>
          </w:p>
        </w:tc>
        <w:tc>
          <w:tcPr>
            <w:tcW w:type="dxa" w:w="37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SENE only</w:t>
            </w:r>
          </w:p>
        </w:tc>
      </w:tr>
      <w:tr>
        <w:tc>
          <w:tcPr>
            <w:tcW w:type="dxa" w:w="11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CAPEX</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Capital Expenditure</w:t>
            </w:r>
          </w:p>
        </w:tc>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12</w:t>
            </w:r>
          </w:p>
        </w:tc>
        <w:tc>
          <w:tcPr>
            <w:tcW w:type="dxa" w:w="37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CAPEX only</w:t>
            </w:r>
          </w:p>
        </w:tc>
      </w:tr>
      <w:tr>
        <w:tc>
          <w:tcPr>
            <w:tcW w:type="dxa" w:w="11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NPV</w:t>
            </w:r>
          </w:p>
        </w:tc>
        <w:tc>
          <w:tcPr>
            <w:tcW w:type="dxa" w:w="28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Net Present Value</w:t>
            </w:r>
          </w:p>
        </w:tc>
        <w:tc>
          <w:tcPr>
            <w:tcW w:type="dxa" w:w="14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12</w:t>
            </w:r>
          </w:p>
        </w:tc>
        <w:tc>
          <w:tcPr>
            <w:tcW w:type="dxa" w:w="37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NPV only</w:t>
            </w:r>
          </w:p>
        </w:tc>
      </w:tr>
      <w:tr>
        <w:tc>
          <w:tcPr>
            <w:tcW w:type="dxa" w:w="11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IRR</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Internal Rate of Return</w:t>
            </w:r>
          </w:p>
        </w:tc>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12</w:t>
            </w:r>
          </w:p>
        </w:tc>
        <w:tc>
          <w:tcPr>
            <w:tcW w:type="dxa" w:w="37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IRR only</w:t>
            </w:r>
          </w:p>
        </w:tc>
      </w:tr>
      <w:tr>
        <w:tc>
          <w:tcPr>
            <w:tcW w:type="dxa" w:w="11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WACC</w:t>
            </w:r>
          </w:p>
        </w:tc>
        <w:tc>
          <w:tcPr>
            <w:tcW w:type="dxa" w:w="28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Weighted Average Cost of Capital</w:t>
            </w:r>
          </w:p>
        </w:tc>
        <w:tc>
          <w:tcPr>
            <w:tcW w:type="dxa" w:w="14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14</w:t>
            </w:r>
          </w:p>
        </w:tc>
        <w:tc>
          <w:tcPr>
            <w:tcW w:type="dxa" w:w="37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WACC only</w:t>
            </w:r>
          </w:p>
        </w:tc>
      </w:tr>
      <w:tr>
        <w:tc>
          <w:tcPr>
            <w:tcW w:type="dxa" w:w="11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EBITDA</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Earnings Before Interest, Taxes, Depreciation &amp; Amortization</w:t>
            </w:r>
          </w:p>
        </w:tc>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14</w:t>
            </w:r>
          </w:p>
        </w:tc>
        <w:tc>
          <w:tcPr>
            <w:tcW w:type="dxa" w:w="3772"/>
            <w:tcBorders>
              <w:top w:val="single" w:color="BBBBBB" w:sz="1" w:space="0"/>
              <w:left w:val="single" w:color="BBBBBB" w:sz="1" w:space="0"/>
              <w:bottom w:val="single" w:color="BBBBBB" w:sz="1" w:space="0"/>
              <w:right w:val="single" w:color="BBBBBB" w:sz="1" w:space="0"/>
            </w:tcBorders>
            <w:shd w:fill="FFFFFF"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EBITDA only</w:t>
            </w:r>
          </w:p>
        </w:tc>
      </w:tr>
      <w:tr>
        <w:tc>
          <w:tcPr>
            <w:tcW w:type="dxa" w:w="11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bCs/>
                <w:i w:val="false"/>
                <w:iCs w:val="false"/>
                <w:color w:val="000000"/>
                <w:sz w:val="19"/>
                <w:szCs w:val="19"/>
              </w:rPr>
              <w:t xml:space="preserve">Section 83E</w:t>
            </w:r>
          </w:p>
        </w:tc>
        <w:tc>
          <w:tcPr>
            <w:tcW w:type="dxa" w:w="28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val="false"/>
                <w:iCs w:val="false"/>
                <w:color w:val="000000"/>
                <w:sz w:val="19"/>
                <w:szCs w:val="19"/>
              </w:rPr>
              <w:t xml:space="preserve">Section 83E of the Massachusetts Green Communities Act</w:t>
            </w:r>
          </w:p>
        </w:tc>
        <w:tc>
          <w:tcPr>
            <w:tcW w:type="dxa" w:w="1400"/>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center"/>
            </w:pPr>
            <w:r>
              <w:rPr>
                <w:rFonts w:ascii="Calibri" w:cs="Calibri" w:eastAsia="Calibri" w:hAnsi="Calibri"/>
                <w:b w:val="false"/>
                <w:bCs w:val="false"/>
                <w:i w:val="false"/>
                <w:iCs w:val="false"/>
                <w:color w:val="000000"/>
                <w:sz w:val="19"/>
                <w:szCs w:val="19"/>
              </w:rPr>
              <w:t xml:space="preserve">Slide 15</w:t>
            </w:r>
          </w:p>
        </w:tc>
        <w:tc>
          <w:tcPr>
            <w:tcW w:type="dxa" w:w="3772"/>
            <w:tcBorders>
              <w:top w:val="single" w:color="BBBBBB" w:sz="1" w:space="0"/>
              <w:left w:val="single" w:color="BBBBBB" w:sz="1" w:space="0"/>
              <w:bottom w:val="single" w:color="BBBBBB" w:sz="1" w:space="0"/>
              <w:right w:val="single" w:color="BBBBBB" w:sz="1" w:space="0"/>
            </w:tcBorders>
            <w:shd w:fill="F5F5F5" w:color="auto" w:val="clear"/>
            <w:tcMar>
              <w:top w:type="dxa" w:w="60"/>
              <w:left w:type="dxa" w:w="100"/>
              <w:bottom w:type="dxa" w:w="60"/>
              <w:right w:type="dxa" w:w="80"/>
            </w:tcMar>
          </w:tcPr>
          <w:p>
            <w:pPr>
              <w:spacing w:after="0" w:before="0" w:line="288" w:lineRule="auto"/>
              <w:jc w:val="left"/>
            </w:pPr>
            <w:r>
              <w:rPr>
                <w:rFonts w:ascii="Calibri" w:cs="Calibri" w:eastAsia="Calibri" w:hAnsi="Calibri"/>
                <w:b w:val="false"/>
                <w:bCs w:val="false"/>
                <w:i/>
                <w:iCs/>
                <w:color w:val="000000"/>
                <w:sz w:val="19"/>
                <w:szCs w:val="19"/>
              </w:rPr>
              <w:t xml:space="preserve">83E only</w:t>
            </w:r>
          </w:p>
        </w:tc>
      </w:tr>
    </w:tbl>
    <w:sectPr>
      <w:headerReference w:type="default" r:id="rId7"/>
      <w:footerReference w:type="default" r:id="rId8"/>
      <w:pgSz w:w="12240" w:h="15840" w:orient="portrait"/>
      <w:pgMar w:top="1008" w:right="1008"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1"/>
      </w:pBdr>
      <w:spacing w:after="0" w:before="0"/>
    </w:pPr>
    <w:r>
      <w:rPr>
        <w:rFonts w:ascii="Calibri" w:cs="Calibri" w:eastAsia="Calibri" w:hAnsi="Calibri"/>
        <w:b w:val="false"/>
        <w:bCs w:val="false"/>
        <w:i w:val="false"/>
        <w:iCs w:val="false"/>
        <w:color w:val="000000"/>
        <w:sz w:val="4"/>
        <w:szCs w:val="4"/>
      </w:rPr>
      <w:t xml:space="preserve"/>
    </w:r>
  </w:p>
  <w:p>
    <w:pPr>
      <w:spacing w:after="0" w:before="40"/>
      <w:jc w:val="right"/>
    </w:pP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r>
      <w:rPr>
        <w:rFonts w:ascii="Calibri" w:cs="Calibri" w:eastAsia="Calibri" w:hAnsi="Calibri"/>
        <w:color w:val="666666"/>
        <w:sz w:val="15"/>
        <w:szCs w:val="15"/>
      </w:rPr>
      <w:t xml:space="preserve"> of </w:t>
    </w:r>
    <w:r>
      <w:rPr>
        <w:rFonts w:ascii="Calibri" w:cs="Calibri" w:eastAsia="Calibri" w:hAnsi="Calibri"/>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line="288" w:lineRule="auto"/>
      <w:jc w:val="left"/>
    </w:pPr>
    <w:r>
      <w:rPr>
        <w:rFonts w:ascii="Calibri" w:cs="Calibri" w:eastAsia="Calibri" w:hAnsi="Calibri"/>
        <w:color w:val="444444"/>
        <w:sz w:val="16"/>
        <w:szCs w:val="16"/>
      </w:rPr>
      <w:t xml:space="preserve">Complete Presentation Transcript  ·  All 19 Slides  ·  10-Minute Script  ·  TPS × MassDOER  ·  April 2026</w:t>
    </w:r>
  </w:p>
  <w:p>
    <w:pPr>
      <w:pBdr>
        <w:bottom w:val="single" w:color="AAAAAA" w:sz="2" w:space="1"/>
      </w:pBdr>
      <w:spacing w:after="0" w:before="0"/>
    </w:pPr>
    <w:r>
      <w:rPr>
        <w:rFonts w:ascii="Calibri" w:cs="Calibri" w:eastAsia="Calibri" w:hAnsi="Calibri"/>
        <w:b w:val="false"/>
        <w:bCs w:val="false"/>
        <w:i w:val="false"/>
        <w:iCs w:val="false"/>
        <w:color w:val="000000"/>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2026-04-18T18:57:14.706Z</dcterms:created>
  <dcterms:modified xsi:type="dcterms:W3CDTF">2026-04-18T18:57:14.707Z</dcterms:modified>
</cp:coreProperties>
</file>

<file path=docProps/custom.xml><?xml version="1.0" encoding="utf-8"?>
<Properties xmlns="http://schemas.openxmlformats.org/officeDocument/2006/custom-properties" xmlns:vt="http://schemas.openxmlformats.org/officeDocument/2006/docPropsVTypes"/>
</file>