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사업 제안서</w:t>
      </w:r>
    </w:p>
    <w:p>
      <w:pPr>
        <w:pStyle w:val="Heading1"/>
      </w:pPr>
      <w:r>
        <w:t>실행 일정</w:t>
      </w:r>
    </w:p>
    <w:p>
      <w:r>
        <w:t>실행 일정에 대한 설명입니다.</w:t>
      </w:r>
    </w:p>
    <w:p>
      <w:r>
        <w:t>2026-Q3 착수, 2026-Q4 완료</w:t>
      </w:r>
    </w:p>
    <w:p>
      <w:pPr>
        <w:pStyle w:val="Heading1"/>
      </w:pPr>
      <w:r>
        <w:t>예산</w:t>
      </w:r>
    </w:p>
    <w:p>
      <w:r>
        <w:t>예산에 대한 설명입니다.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금액</w:t>
            </w:r>
          </w:p>
        </w:tc>
      </w:tr>
      <w:tr>
        <w:tc>
          <w:tcPr>
            <w:tcW w:type="dxa" w:w="4320"/>
          </w:tcPr>
          <w:p>
            <w:r>
              <w:t>인건비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장비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p>
      <w:pPr>
        <w:pStyle w:val="Heading1"/>
      </w:pPr>
      <w:r>
        <w:t>위험 관리</w:t>
      </w:r>
    </w:p>
    <w:p>
      <w:r>
        <w:t>위험 관리에 대한 설명입니다.</w:t>
      </w:r>
    </w:p>
    <w:p>
      <w:pPr>
        <w:pStyle w:val="Heading1"/>
      </w:pPr>
      <w:r>
        <w:t>수행 조직</w:t>
      </w:r>
    </w:p>
    <w:p>
      <w:r>
        <w:t>수행 조직에 대한 설명입니다.</w:t>
      </w:r>
    </w:p>
    <w:p>
      <w:pPr>
        <w:pStyle w:val="Heading1"/>
      </w:pPr>
      <w:r>
        <w:t>기대 효과</w:t>
      </w:r>
    </w:p>
    <w:p>
      <w:r>
        <w:t>기대 효과에 대한 설명입니다.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