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14. Same-day room demeaning test. NOTE: the shares here are the morphometry share of (morphometry + bioacoustics) |SHAP| only (demeaning comparison definition), not the share of total used in Table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variant</w:t>
            </w:r>
          </w:p>
        </w:tc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C0 (median |rho| daily-mean feature vs age)</w:t>
            </w:r>
          </w:p>
        </w:tc>
        <w:tc>
          <w:tcPr>
            <w:tcW w:type="dxa" w:w="1440"/>
          </w:tcPr>
          <w:p>
            <w:r>
              <w:t>morph share of (morph + bioacoustics) |SHAP|, &lt;45 d</w:t>
            </w:r>
          </w:p>
        </w:tc>
        <w:tc>
          <w:tcPr>
            <w:tcW w:type="dxa" w:w="1440"/>
          </w:tcPr>
          <w:p>
            <w:r>
              <w:t>morph share of (morph + bioacoustics) |SHAP|, &gt;140 d</w:t>
            </w:r>
          </w:p>
        </w:tc>
      </w:tr>
      <w:tr>
        <w:tc>
          <w:tcPr>
            <w:tcW w:type="dxa" w:w="1440"/>
          </w:tcPr>
          <w:p>
            <w:r>
              <w:t>diurnal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  <w:tc>
          <w:tcPr>
            <w:tcW w:type="dxa" w:w="1440"/>
          </w:tcPr>
          <w:p>
            <w:r>
              <w:t>18.73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0.132</w:t>
            </w:r>
          </w:p>
        </w:tc>
        <w:tc>
          <w:tcPr>
            <w:tcW w:type="dxa" w:w="1440"/>
          </w:tcPr>
          <w:p>
            <w:r>
              <w:t>0.121</w:t>
            </w:r>
          </w:p>
        </w:tc>
      </w:tr>
      <w:tr>
        <w:tc>
          <w:tcPr>
            <w:tcW w:type="dxa" w:w="1440"/>
          </w:tcPr>
          <w:p>
            <w:r>
              <w:t>raw (no transform)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18.58</w:t>
            </w:r>
          </w:p>
        </w:tc>
        <w:tc>
          <w:tcPr>
            <w:tcW w:type="dxa" w:w="1440"/>
          </w:tcPr>
          <w:p>
            <w:r>
              <w:t>0.462</w:t>
            </w:r>
          </w:p>
        </w:tc>
        <w:tc>
          <w:tcPr>
            <w:tcW w:type="dxa" w:w="1440"/>
          </w:tcPr>
          <w:p>
            <w:r>
              <w:t>0.958</w:t>
            </w:r>
          </w:p>
        </w:tc>
        <w:tc>
          <w:tcPr>
            <w:tcW w:type="dxa" w:w="1440"/>
          </w:tcPr>
          <w:p>
            <w:r>
              <w:t>0.871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