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15. Unsupervised clustering per room (primary pipeline): crossover/transition day, k=2 boundary, silhouette, ARI vs day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1372.0</w:t>
            </w:r>
          </w:p>
        </w:tc>
        <w:tc>
          <w:tcPr>
            <w:tcW w:type="dxa" w:w="2160"/>
          </w:tcPr>
          <w:p>
            <w:r>
              <w:t>1133.0</w:t>
            </w:r>
          </w:p>
        </w:tc>
        <w:tc>
          <w:tcPr>
            <w:tcW w:type="dxa" w:w="2160"/>
          </w:tcPr>
          <w:p>
            <w:r>
              <w:t>1693.0</w:t>
            </w:r>
          </w:p>
        </w:tc>
      </w:tr>
      <w:tr>
        <w:tc>
          <w:tcPr>
            <w:tcW w:type="dxa" w:w="2160"/>
          </w:tcPr>
          <w:p>
            <w:r>
              <w:t>n_features</w:t>
            </w:r>
          </w:p>
        </w:tc>
        <w:tc>
          <w:tcPr>
            <w:tcW w:type="dxa" w:w="2160"/>
          </w:tcPr>
          <w:p>
            <w:r>
              <w:t>166.0</w:t>
            </w:r>
          </w:p>
        </w:tc>
        <w:tc>
          <w:tcPr>
            <w:tcW w:type="dxa" w:w="2160"/>
          </w:tcPr>
          <w:p>
            <w:r>
              <w:t>166.0</w:t>
            </w:r>
          </w:p>
        </w:tc>
        <w:tc>
          <w:tcPr>
            <w:tcW w:type="dxa" w:w="2160"/>
          </w:tcPr>
          <w:p>
            <w:r>
              <w:t>166.0</w:t>
            </w:r>
          </w:p>
        </w:tc>
      </w:tr>
      <w:tr>
        <w:tc>
          <w:tcPr>
            <w:tcW w:type="dxa" w:w="2160"/>
          </w:tcPr>
          <w:p>
            <w:r>
              <w:t>k_best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silhouette_kbest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0.398</w:t>
            </w:r>
          </w:p>
        </w:tc>
        <w:tc>
          <w:tcPr>
            <w:tcW w:type="dxa" w:w="2160"/>
          </w:tcPr>
          <w:p>
            <w:r>
              <w:t>0.303</w:t>
            </w:r>
          </w:p>
        </w:tc>
      </w:tr>
      <w:tr>
        <w:tc>
          <w:tcPr>
            <w:tcW w:type="dxa" w:w="2160"/>
          </w:tcPr>
          <w:p>
            <w:r>
              <w:t>k2_boundary_day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  <w:tc>
          <w:tcPr>
            <w:tcW w:type="dxa" w:w="2160"/>
          </w:tcPr>
          <w:p>
            <w:r>
              <w:t>74.0</w:t>
            </w:r>
          </w:p>
        </w:tc>
        <w:tc>
          <w:tcPr>
            <w:tcW w:type="dxa" w:w="2160"/>
          </w:tcPr>
          <w:p>
            <w:r>
              <w:t>67.0</w:t>
            </w:r>
          </w:p>
        </w:tc>
      </w:tr>
      <w:tr>
        <w:tc>
          <w:tcPr>
            <w:tcW w:type="dxa" w:w="2160"/>
          </w:tcPr>
          <w:p>
            <w:r>
              <w:t>k2_balanced_accuracy</w:t>
            </w:r>
          </w:p>
        </w:tc>
        <w:tc>
          <w:tcPr>
            <w:tcW w:type="dxa" w:w="2160"/>
          </w:tcPr>
          <w:p>
            <w:r>
              <w:t>0.862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  <w:tc>
          <w:tcPr>
            <w:tcW w:type="dxa" w:w="2160"/>
          </w:tcPr>
          <w:p>
            <w:r>
              <w:t>0.803</w:t>
            </w:r>
          </w:p>
        </w:tc>
      </w:tr>
      <w:tr>
        <w:tc>
          <w:tcPr>
            <w:tcW w:type="dxa" w:w="2160"/>
          </w:tcPr>
          <w:p>
            <w:r>
              <w:t>k2_ARI_vs_day70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</w:tr>
      <w:tr>
        <w:tc>
          <w:tcPr>
            <w:tcW w:type="dxa" w:w="2160"/>
          </w:tcPr>
          <w:p>
            <w:r>
              <w:t>k2_early_cluster_frac</w:t>
            </w:r>
          </w:p>
        </w:tc>
        <w:tc>
          <w:tcPr>
            <w:tcW w:type="dxa" w:w="2160"/>
          </w:tcPr>
          <w:p>
            <w:r>
              <w:t>0.121</w:t>
            </w:r>
          </w:p>
        </w:tc>
        <w:tc>
          <w:tcPr>
            <w:tcW w:type="dxa" w:w="2160"/>
          </w:tcPr>
          <w:p>
            <w:r>
              <w:t>0.234</w:t>
            </w:r>
          </w:p>
        </w:tc>
        <w:tc>
          <w:tcPr>
            <w:tcW w:type="dxa" w:w="2160"/>
          </w:tcPr>
          <w:p>
            <w:r>
              <w:t>0.265</w:t>
            </w:r>
          </w:p>
        </w:tc>
      </w:tr>
      <w:tr>
        <w:tc>
          <w:tcPr>
            <w:tcW w:type="dxa" w:w="2160"/>
          </w:tcPr>
          <w:p>
            <w:r>
              <w:t>primary_transition_day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  <w:tc>
          <w:tcPr>
            <w:tcW w:type="dxa" w:w="2160"/>
          </w:tcPr>
          <w:p>
            <w:r>
              <w:t>74.0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silhouette_k2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0.398</w:t>
            </w:r>
          </w:p>
        </w:tc>
        <w:tc>
          <w:tcPr>
            <w:tcW w:type="dxa" w:w="2160"/>
          </w:tcPr>
          <w:p>
            <w:r>
              <w:t>0.275</w:t>
            </w:r>
          </w:p>
        </w:tc>
      </w:tr>
      <w:tr>
        <w:tc>
          <w:tcPr>
            <w:tcW w:type="dxa" w:w="2160"/>
          </w:tcPr>
          <w:p>
            <w:r>
              <w:t>silhouette_k3</w:t>
            </w:r>
          </w:p>
        </w:tc>
        <w:tc>
          <w:tcPr>
            <w:tcW w:type="dxa" w:w="2160"/>
          </w:tcPr>
          <w:p>
            <w:r>
              <w:t>0.267</w:t>
            </w:r>
          </w:p>
        </w:tc>
        <w:tc>
          <w:tcPr>
            <w:tcW w:type="dxa" w:w="2160"/>
          </w:tcPr>
          <w:p>
            <w:r>
              <w:t>0.392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silhouette_k4</w:t>
            </w:r>
          </w:p>
        </w:tc>
        <w:tc>
          <w:tcPr>
            <w:tcW w:type="dxa" w:w="2160"/>
          </w:tcPr>
          <w:p>
            <w:r>
              <w:t>0.285</w:t>
            </w:r>
          </w:p>
        </w:tc>
        <w:tc>
          <w:tcPr>
            <w:tcW w:type="dxa" w:w="2160"/>
          </w:tcPr>
          <w:p>
            <w:r>
              <w:t>0.269</w:t>
            </w:r>
          </w:p>
        </w:tc>
        <w:tc>
          <w:tcPr>
            <w:tcW w:type="dxa" w:w="2160"/>
          </w:tcPr>
          <w:p>
            <w:r>
              <w:t>0.282</w:t>
            </w:r>
          </w:p>
        </w:tc>
      </w:tr>
      <w:tr>
        <w:tc>
          <w:tcPr>
            <w:tcW w:type="dxa" w:w="2160"/>
          </w:tcPr>
          <w:p>
            <w:r>
              <w:t>silhouette_k5</w:t>
            </w:r>
          </w:p>
        </w:tc>
        <w:tc>
          <w:tcPr>
            <w:tcW w:type="dxa" w:w="2160"/>
          </w:tcPr>
          <w:p>
            <w:r>
              <w:t>0.295</w:t>
            </w:r>
          </w:p>
        </w:tc>
        <w:tc>
          <w:tcPr>
            <w:tcW w:type="dxa" w:w="2160"/>
          </w:tcPr>
          <w:p>
            <w:r>
              <w:t>0.278</w:t>
            </w:r>
          </w:p>
        </w:tc>
        <w:tc>
          <w:tcPr>
            <w:tcW w:type="dxa" w:w="2160"/>
          </w:tcPr>
          <w:p>
            <w:r>
              <w:t>0.281</w:t>
            </w:r>
          </w:p>
        </w:tc>
      </w:tr>
      <w:tr>
        <w:tc>
          <w:tcPr>
            <w:tcW w:type="dxa" w:w="2160"/>
          </w:tcPr>
          <w:p>
            <w:r>
              <w:t>silhouette_k6</w:t>
            </w:r>
          </w:p>
        </w:tc>
        <w:tc>
          <w:tcPr>
            <w:tcW w:type="dxa" w:w="2160"/>
          </w:tcPr>
          <w:p>
            <w:r>
              <w:t>0.306</w:t>
            </w:r>
          </w:p>
        </w:tc>
        <w:tc>
          <w:tcPr>
            <w:tcW w:type="dxa" w:w="2160"/>
          </w:tcPr>
          <w:p>
            <w:r>
              <w:t>0.282</w:t>
            </w:r>
          </w:p>
        </w:tc>
        <w:tc>
          <w:tcPr>
            <w:tcW w:type="dxa" w:w="2160"/>
          </w:tcPr>
          <w:p>
            <w:r>
              <w:t>0.303</w:t>
            </w:r>
          </w:p>
        </w:tc>
      </w:tr>
      <w:tr>
        <w:tc>
          <w:tcPr>
            <w:tcW w:type="dxa" w:w="2160"/>
          </w:tcPr>
          <w:p>
            <w:r>
              <w:t>transition day over 10 seeds (mean)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  <w:tc>
          <w:tcPr>
            <w:tcW w:type="dxa" w:w="2160"/>
          </w:tcPr>
          <w:p>
            <w:r>
              <w:t>74.0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