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2. Leave-one-room-out performance (MAE and RMSE in days); V2 and V3 are labelled extensions. The median-body-height baseline is evaluated only on windows with usable temporal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MAE room2</w:t>
            </w:r>
          </w:p>
        </w:tc>
        <w:tc>
          <w:tcPr>
            <w:tcW w:type="dxa" w:w="785"/>
          </w:tcPr>
          <w:p>
            <w:r>
              <w:t>MAE room6</w:t>
            </w:r>
          </w:p>
        </w:tc>
        <w:tc>
          <w:tcPr>
            <w:tcW w:type="dxa" w:w="785"/>
          </w:tcPr>
          <w:p>
            <w:r>
              <w:t>MAE room7</w:t>
            </w:r>
          </w:p>
        </w:tc>
        <w:tc>
          <w:tcPr>
            <w:tcW w:type="dxa" w:w="785"/>
          </w:tcPr>
          <w:p>
            <w:r>
              <w:t>MAE macro</w:t>
            </w:r>
          </w:p>
        </w:tc>
        <w:tc>
          <w:tcPr>
            <w:tcW w:type="dxa" w:w="785"/>
          </w:tcPr>
          <w:p>
            <w:r>
              <w:t>RMSE macro</w:t>
            </w:r>
          </w:p>
        </w:tc>
        <w:tc>
          <w:tcPr>
            <w:tcW w:type="dxa" w:w="785"/>
          </w:tcPr>
          <w:p>
            <w:r>
              <w:t>R2 macro</w:t>
            </w:r>
          </w:p>
        </w:tc>
        <w:tc>
          <w:tcPr>
            <w:tcW w:type="dxa" w:w="785"/>
          </w:tcPr>
          <w:p>
            <w:r>
              <w:t>R2 room2</w:t>
            </w:r>
          </w:p>
        </w:tc>
        <w:tc>
          <w:tcPr>
            <w:tcW w:type="dxa" w:w="785"/>
          </w:tcPr>
          <w:p>
            <w:r>
              <w:t>R2 room6</w:t>
            </w:r>
          </w:p>
        </w:tc>
        <w:tc>
          <w:tcPr>
            <w:tcW w:type="dxa" w:w="785"/>
          </w:tcPr>
          <w:p>
            <w:r>
              <w:t>R2 room7</w:t>
            </w:r>
          </w:p>
        </w:tc>
        <w:tc>
          <w:tcPr>
            <w:tcW w:type="dxa" w:w="785"/>
          </w:tcPr>
          <w:p>
            <w:r>
              <w:t>n (windows, all rooms)</w:t>
            </w:r>
          </w:p>
        </w:tc>
      </w:tr>
      <w:tr>
        <w:tc>
          <w:tcPr>
            <w:tcW w:type="dxa" w:w="785"/>
          </w:tcPr>
          <w:p>
            <w:r>
              <w:t>primary fused</w:t>
            </w:r>
          </w:p>
        </w:tc>
        <w:tc>
          <w:tcPr>
            <w:tcW w:type="dxa" w:w="785"/>
          </w:tcPr>
          <w:p>
            <w:r>
              <w:t>18.02</w:t>
            </w:r>
          </w:p>
        </w:tc>
        <w:tc>
          <w:tcPr>
            <w:tcW w:type="dxa" w:w="785"/>
          </w:tcPr>
          <w:p>
            <w:r>
              <w:t>23.64</w:t>
            </w:r>
          </w:p>
        </w:tc>
        <w:tc>
          <w:tcPr>
            <w:tcW w:type="dxa" w:w="785"/>
          </w:tcPr>
          <w:p>
            <w:r>
              <w:t>14.08</w:t>
            </w:r>
          </w:p>
        </w:tc>
        <w:tc>
          <w:tcPr>
            <w:tcW w:type="dxa" w:w="785"/>
          </w:tcPr>
          <w:p>
            <w:r>
              <w:t>18.58</w:t>
            </w:r>
          </w:p>
        </w:tc>
        <w:tc>
          <w:tcPr>
            <w:tcW w:type="dxa" w:w="785"/>
          </w:tcPr>
          <w:p>
            <w:r>
              <w:t>25.82</w:t>
            </w:r>
          </w:p>
        </w:tc>
        <w:tc>
          <w:tcPr>
            <w:tcW w:type="dxa" w:w="785"/>
          </w:tcPr>
          <w:p>
            <w:r>
              <w:t>0.627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  <w:tc>
          <w:tcPr>
            <w:tcW w:type="dxa" w:w="785"/>
          </w:tcPr>
          <w:p>
            <w:r>
              <w:t>0.449</w:t>
            </w:r>
          </w:p>
        </w:tc>
        <w:tc>
          <w:tcPr>
            <w:tcW w:type="dxa" w:w="785"/>
          </w:tcPr>
          <w:p>
            <w:r>
              <w:t>0.719</w:t>
            </w:r>
          </w:p>
        </w:tc>
        <w:tc>
          <w:tcPr>
            <w:tcW w:type="dxa" w:w="785"/>
          </w:tcPr>
          <w:p>
            <w:r>
              <w:t>4,198</w:t>
            </w:r>
          </w:p>
        </w:tc>
      </w:tr>
      <w:tr>
        <w:tc>
          <w:tcPr>
            <w:tcW w:type="dxa" w:w="785"/>
          </w:tcPr>
          <w:p>
            <w:r>
              <w:t>primary morphometry-only</w:t>
            </w:r>
          </w:p>
        </w:tc>
        <w:tc>
          <w:tcPr>
            <w:tcW w:type="dxa" w:w="785"/>
          </w:tcPr>
          <w:p>
            <w:r>
              <w:t>19.86</w:t>
            </w:r>
          </w:p>
        </w:tc>
        <w:tc>
          <w:tcPr>
            <w:tcW w:type="dxa" w:w="785"/>
          </w:tcPr>
          <w:p>
            <w:r>
              <w:t>17.72</w:t>
            </w:r>
          </w:p>
        </w:tc>
        <w:tc>
          <w:tcPr>
            <w:tcW w:type="dxa" w:w="785"/>
          </w:tcPr>
          <w:p>
            <w:r>
              <w:t>13.70</w:t>
            </w:r>
          </w:p>
        </w:tc>
        <w:tc>
          <w:tcPr>
            <w:tcW w:type="dxa" w:w="785"/>
          </w:tcPr>
          <w:p>
            <w:r>
              <w:t>17.09</w:t>
            </w:r>
          </w:p>
        </w:tc>
        <w:tc>
          <w:tcPr>
            <w:tcW w:type="dxa" w:w="785"/>
          </w:tcPr>
          <w:p>
            <w:r>
              <w:t>23.78</w:t>
            </w:r>
          </w:p>
        </w:tc>
        <w:tc>
          <w:tcPr>
            <w:tcW w:type="dxa" w:w="785"/>
          </w:tcPr>
          <w:p>
            <w:r>
              <w:t>0.690</w:t>
            </w:r>
          </w:p>
        </w:tc>
        <w:tc>
          <w:tcPr>
            <w:tcW w:type="dxa" w:w="785"/>
          </w:tcPr>
          <w:p>
            <w:r>
              <w:t>0.646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  <w:tc>
          <w:tcPr>
            <w:tcW w:type="dxa" w:w="785"/>
          </w:tcPr>
          <w:p>
            <w:r>
              <w:t>0.735</w:t>
            </w:r>
          </w:p>
        </w:tc>
        <w:tc>
          <w:tcPr>
            <w:tcW w:type="dxa" w:w="785"/>
          </w:tcPr>
          <w:p>
            <w:r>
              <w:t>4,198</w:t>
            </w:r>
          </w:p>
        </w:tc>
      </w:tr>
      <w:tr>
        <w:tc>
          <w:tcPr>
            <w:tcW w:type="dxa" w:w="785"/>
          </w:tcPr>
          <w:p>
            <w:r>
              <w:t>V3 body-size only</w:t>
            </w:r>
          </w:p>
        </w:tc>
        <w:tc>
          <w:tcPr>
            <w:tcW w:type="dxa" w:w="785"/>
          </w:tcPr>
          <w:p>
            <w:r>
              <w:t>25.99</w:t>
            </w:r>
          </w:p>
        </w:tc>
        <w:tc>
          <w:tcPr>
            <w:tcW w:type="dxa" w:w="785"/>
          </w:tcPr>
          <w:p>
            <w:r>
              <w:t>20.65</w:t>
            </w:r>
          </w:p>
        </w:tc>
        <w:tc>
          <w:tcPr>
            <w:tcW w:type="dxa" w:w="785"/>
          </w:tcPr>
          <w:p>
            <w:r>
              <w:t>14.21</w:t>
            </w:r>
          </w:p>
        </w:tc>
        <w:tc>
          <w:tcPr>
            <w:tcW w:type="dxa" w:w="785"/>
          </w:tcPr>
          <w:p>
            <w:r>
              <w:t>20.28</w:t>
            </w:r>
          </w:p>
        </w:tc>
        <w:tc>
          <w:tcPr>
            <w:tcW w:type="dxa" w:w="785"/>
          </w:tcPr>
          <w:p>
            <w:r>
              <w:t>26.88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0.414</w:t>
            </w:r>
          </w:p>
        </w:tc>
        <w:tc>
          <w:tcPr>
            <w:tcW w:type="dxa" w:w="785"/>
          </w:tcPr>
          <w:p>
            <w:r>
              <w:t>0.621</w:t>
            </w:r>
          </w:p>
        </w:tc>
        <w:tc>
          <w:tcPr>
            <w:tcW w:type="dxa" w:w="785"/>
          </w:tcPr>
          <w:p>
            <w:r>
              <w:t>0.747</w:t>
            </w:r>
          </w:p>
        </w:tc>
        <w:tc>
          <w:tcPr>
            <w:tcW w:type="dxa" w:w="785"/>
          </w:tcPr>
          <w:p>
            <w:r>
              <w:t>4,198</w:t>
            </w:r>
          </w:p>
        </w:tc>
      </w:tr>
      <w:tr>
        <w:tc>
          <w:tcPr>
            <w:tcW w:type="dxa" w:w="785"/>
          </w:tcPr>
          <w:p>
            <w:r>
              <w:t>V2 fused (audio first-week reference)</w:t>
            </w:r>
          </w:p>
        </w:tc>
        <w:tc>
          <w:tcPr>
            <w:tcW w:type="dxa" w:w="785"/>
          </w:tcPr>
          <w:p>
            <w:r>
              <w:t>16.16</w:t>
            </w:r>
          </w:p>
        </w:tc>
        <w:tc>
          <w:tcPr>
            <w:tcW w:type="dxa" w:w="785"/>
          </w:tcPr>
          <w:p>
            <w:r>
              <w:t>23.76</w:t>
            </w:r>
          </w:p>
        </w:tc>
        <w:tc>
          <w:tcPr>
            <w:tcW w:type="dxa" w:w="785"/>
          </w:tcPr>
          <w:p>
            <w:r>
              <w:t>13.63</w:t>
            </w:r>
          </w:p>
        </w:tc>
        <w:tc>
          <w:tcPr>
            <w:tcW w:type="dxa" w:w="785"/>
          </w:tcPr>
          <w:p>
            <w:r>
              <w:t>17.85</w:t>
            </w:r>
          </w:p>
        </w:tc>
        <w:tc>
          <w:tcPr>
            <w:tcW w:type="dxa" w:w="785"/>
          </w:tcPr>
          <w:p>
            <w:r>
              <w:t>24.87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0.748</w:t>
            </w:r>
          </w:p>
        </w:tc>
        <w:tc>
          <w:tcPr>
            <w:tcW w:type="dxa" w:w="785"/>
          </w:tcPr>
          <w:p>
            <w:r>
              <w:t>0.484</w:t>
            </w:r>
          </w:p>
        </w:tc>
        <w:tc>
          <w:tcPr>
            <w:tcW w:type="dxa" w:w="785"/>
          </w:tcPr>
          <w:p>
            <w:r>
              <w:t>0.728</w:t>
            </w:r>
          </w:p>
        </w:tc>
        <w:tc>
          <w:tcPr>
            <w:tcW w:type="dxa" w:w="785"/>
          </w:tcPr>
          <w:p>
            <w:r>
              <w:t>4,198</w:t>
            </w:r>
          </w:p>
        </w:tc>
      </w:tr>
      <w:tr>
        <w:tc>
          <w:tcPr>
            <w:tcW w:type="dxa" w:w="785"/>
          </w:tcPr>
          <w:p>
            <w:r>
              <w:t>median body height (isotonic baseline)</w:t>
            </w:r>
          </w:p>
        </w:tc>
        <w:tc>
          <w:tcPr>
            <w:tcW w:type="dxa" w:w="785"/>
          </w:tcPr>
          <w:p>
            <w:r>
              <w:t>24.59</w:t>
            </w:r>
          </w:p>
        </w:tc>
        <w:tc>
          <w:tcPr>
            <w:tcW w:type="dxa" w:w="785"/>
          </w:tcPr>
          <w:p>
            <w:r>
              <w:t>19.31</w:t>
            </w:r>
          </w:p>
        </w:tc>
        <w:tc>
          <w:tcPr>
            <w:tcW w:type="dxa" w:w="785"/>
          </w:tcPr>
          <w:p>
            <w:r>
              <w:t>15.41</w:t>
            </w:r>
          </w:p>
        </w:tc>
        <w:tc>
          <w:tcPr>
            <w:tcW w:type="dxa" w:w="785"/>
          </w:tcPr>
          <w:p>
            <w:r>
              <w:t>19.77</w:t>
            </w:r>
          </w:p>
        </w:tc>
        <w:tc>
          <w:tcPr>
            <w:tcW w:type="dxa" w:w="785"/>
          </w:tcPr>
          <w:p>
            <w:r>
              <w:t>26.08</w:t>
            </w:r>
          </w:p>
        </w:tc>
        <w:tc>
          <w:tcPr>
            <w:tcW w:type="dxa" w:w="785"/>
          </w:tcPr>
          <w:p>
            <w:r>
              <w:t>0.617</w:t>
            </w:r>
          </w:p>
        </w:tc>
        <w:tc>
          <w:tcPr>
            <w:tcW w:type="dxa" w:w="785"/>
          </w:tcPr>
          <w:p>
            <w:r>
              <w:t>0.454</w:t>
            </w:r>
          </w:p>
        </w:tc>
        <w:tc>
          <w:tcPr>
            <w:tcW w:type="dxa" w:w="785"/>
          </w:tcPr>
          <w:p>
            <w:r>
              <w:t>0.645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3,475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