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16. Earlier (Step 0 settings, same scripts) against the primary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old (Step 0 settings)</w:t>
            </w:r>
          </w:p>
        </w:tc>
        <w:tc>
          <w:tcPr>
            <w:tcW w:type="dxa" w:w="2160"/>
          </w:tcPr>
          <w:p>
            <w:r>
              <w:t>new (primary)</w:t>
            </w:r>
          </w:p>
        </w:tc>
      </w:tr>
      <w:tr>
        <w:tc>
          <w:tcPr>
            <w:tcW w:type="dxa" w:w="2160"/>
          </w:tcPr>
          <w:p>
            <w:r>
              <w:t>attribution share of total, morph</w:t>
            </w:r>
          </w:p>
        </w:tc>
        <w:tc>
          <w:tcPr>
            <w:tcW w:type="dxa" w:w="2160"/>
          </w:tcPr>
          <w:p>
            <w:r>
              <w:t>&lt;45d</w:t>
            </w:r>
          </w:p>
        </w:tc>
        <w:tc>
          <w:tcPr>
            <w:tcW w:type="dxa" w:w="2160"/>
          </w:tcPr>
          <w:p>
            <w:r>
              <w:t>0.660</w:t>
            </w:r>
          </w:p>
        </w:tc>
        <w:tc>
          <w:tcPr>
            <w:tcW w:type="dxa" w:w="2160"/>
          </w:tcPr>
          <w:p>
            <w:r>
              <w:t>0.758</w:t>
            </w:r>
          </w:p>
        </w:tc>
      </w:tr>
      <w:tr>
        <w:tc>
          <w:tcPr>
            <w:tcW w:type="dxa" w:w="2160"/>
          </w:tcPr>
          <w:p>
            <w:r>
              <w:t>attribution share of total, morph</w:t>
            </w:r>
          </w:p>
        </w:tc>
        <w:tc>
          <w:tcPr>
            <w:tcW w:type="dxa" w:w="2160"/>
          </w:tcPr>
          <w:p>
            <w:r>
              <w:t>&gt;140d</w:t>
            </w:r>
          </w:p>
        </w:tc>
        <w:tc>
          <w:tcPr>
            <w:tcW w:type="dxa" w:w="2160"/>
          </w:tcPr>
          <w:p>
            <w:r>
              <w:t>0.467</w:t>
            </w:r>
          </w:p>
        </w:tc>
        <w:tc>
          <w:tcPr>
            <w:tcW w:type="dxa" w:w="2160"/>
          </w:tcPr>
          <w:p>
            <w:r>
              <w:t>0.530</w:t>
            </w:r>
          </w:p>
        </w:tc>
      </w:tr>
      <w:tr>
        <w:tc>
          <w:tcPr>
            <w:tcW w:type="dxa" w:w="2160"/>
          </w:tcPr>
          <w:p>
            <w:r>
              <w:t>attribution share of total, audio_bio</w:t>
            </w:r>
          </w:p>
        </w:tc>
        <w:tc>
          <w:tcPr>
            <w:tcW w:type="dxa" w:w="2160"/>
          </w:tcPr>
          <w:p>
            <w:r>
              <w:t>&lt;45d</w:t>
            </w:r>
          </w:p>
        </w:tc>
        <w:tc>
          <w:tcPr>
            <w:tcW w:type="dxa" w:w="2160"/>
          </w:tcPr>
          <w:p>
            <w:r>
              <w:t>0.108</w:t>
            </w:r>
          </w:p>
        </w:tc>
        <w:tc>
          <w:tcPr>
            <w:tcW w:type="dxa" w:w="2160"/>
          </w:tcPr>
          <w:p>
            <w:r>
              <w:t>0.033</w:t>
            </w:r>
          </w:p>
        </w:tc>
      </w:tr>
      <w:tr>
        <w:tc>
          <w:tcPr>
            <w:tcW w:type="dxa" w:w="2160"/>
          </w:tcPr>
          <w:p>
            <w:r>
              <w:t>attribution share of total, audio_bio</w:t>
            </w:r>
          </w:p>
        </w:tc>
        <w:tc>
          <w:tcPr>
            <w:tcW w:type="dxa" w:w="2160"/>
          </w:tcPr>
          <w:p>
            <w:r>
              <w:t>&gt;140d</w:t>
            </w:r>
          </w:p>
        </w:tc>
        <w:tc>
          <w:tcPr>
            <w:tcW w:type="dxa" w:w="2160"/>
          </w:tcPr>
          <w:p>
            <w:r>
              <w:t>0.177</w:t>
            </w:r>
          </w:p>
        </w:tc>
        <w:tc>
          <w:tcPr>
            <w:tcW w:type="dxa" w:w="2160"/>
          </w:tcPr>
          <w:p>
            <w:r>
              <w:t>0.075</w:t>
            </w:r>
          </w:p>
        </w:tc>
      </w:tr>
      <w:tr>
        <w:tc>
          <w:tcPr>
            <w:tcW w:type="dxa" w:w="2160"/>
          </w:tcPr>
          <w:p>
            <w:r>
              <w:t>clustering transition day</w:t>
            </w:r>
          </w:p>
        </w:tc>
        <w:tc>
          <w:tcPr>
            <w:tcW w:type="dxa" w:w="2160"/>
          </w:tcPr>
          <w:p>
            <w:r>
              <w:t>room2</w:t>
            </w:r>
          </w:p>
        </w:tc>
        <w:tc>
          <w:tcPr>
            <w:tcW w:type="dxa" w:w="2160"/>
          </w:tcPr>
          <w:p>
            <w:r>
              <w:t>60.000</w:t>
            </w:r>
          </w:p>
        </w:tc>
        <w:tc>
          <w:tcPr>
            <w:tcW w:type="dxa" w:w="2160"/>
          </w:tcPr>
          <w:p>
            <w:r>
              <w:t>62.000</w:t>
            </w:r>
          </w:p>
        </w:tc>
      </w:tr>
      <w:tr>
        <w:tc>
          <w:tcPr>
            <w:tcW w:type="dxa" w:w="2160"/>
          </w:tcPr>
          <w:p>
            <w:r>
              <w:t>clustering transition day</w:t>
            </w:r>
          </w:p>
        </w:tc>
        <w:tc>
          <w:tcPr>
            <w:tcW w:type="dxa" w:w="2160"/>
          </w:tcPr>
          <w:p>
            <w:r>
              <w:t>room6</w:t>
            </w:r>
          </w:p>
        </w:tc>
        <w:tc>
          <w:tcPr>
            <w:tcW w:type="dxa" w:w="2160"/>
          </w:tcPr>
          <w:p>
            <w:r>
              <w:t>74.000</w:t>
            </w:r>
          </w:p>
        </w:tc>
        <w:tc>
          <w:tcPr>
            <w:tcW w:type="dxa" w:w="2160"/>
          </w:tcPr>
          <w:p>
            <w:r>
              <w:t>74.000</w:t>
            </w:r>
          </w:p>
        </w:tc>
      </w:tr>
      <w:tr>
        <w:tc>
          <w:tcPr>
            <w:tcW w:type="dxa" w:w="2160"/>
          </w:tcPr>
          <w:p>
            <w:r>
              <w:t>clustering transition day</w:t>
            </w:r>
          </w:p>
        </w:tc>
        <w:tc>
          <w:tcPr>
            <w:tcW w:type="dxa" w:w="2160"/>
          </w:tcPr>
          <w:p>
            <w:r>
              <w:t>room7</w:t>
            </w:r>
          </w:p>
        </w:tc>
        <w:tc>
          <w:tcPr>
            <w:tcW w:type="dxa" w:w="2160"/>
          </w:tcPr>
          <w:p>
            <w:r>
              <w:t>68.000</w:t>
            </w:r>
          </w:p>
        </w:tc>
        <w:tc>
          <w:tcPr>
            <w:tcW w:type="dxa" w:w="2160"/>
          </w:tcPr>
          <w:p>
            <w:r>
              <w:t>70.000</w:t>
            </w:r>
          </w:p>
        </w:tc>
      </w:tr>
      <w:tr>
        <w:tc>
          <w:tcPr>
            <w:tcW w:type="dxa" w:w="2160"/>
          </w:tcPr>
          <w:p>
            <w:r>
              <w:t>clustering ARI vs day 70</w:t>
            </w:r>
          </w:p>
        </w:tc>
        <w:tc>
          <w:tcPr>
            <w:tcW w:type="dxa" w:w="2160"/>
          </w:tcPr>
          <w:p>
            <w:r>
              <w:t>room2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</w:tr>
      <w:tr>
        <w:tc>
          <w:tcPr>
            <w:tcW w:type="dxa" w:w="2160"/>
          </w:tcPr>
          <w:p>
            <w:r>
              <w:t>clustering ARI vs day 70</w:t>
            </w:r>
          </w:p>
        </w:tc>
        <w:tc>
          <w:tcPr>
            <w:tcW w:type="dxa" w:w="2160"/>
          </w:tcPr>
          <w:p>
            <w:r>
              <w:t>room6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</w:tr>
      <w:tr>
        <w:tc>
          <w:tcPr>
            <w:tcW w:type="dxa" w:w="2160"/>
          </w:tcPr>
          <w:p>
            <w:r>
              <w:t>clustering ARI vs day 70</w:t>
            </w:r>
          </w:p>
        </w:tc>
        <w:tc>
          <w:tcPr>
            <w:tcW w:type="dxa" w:w="2160"/>
          </w:tcPr>
          <w:p>
            <w:r>
              <w:t>room7</w:t>
            </w:r>
          </w:p>
        </w:tc>
        <w:tc>
          <w:tcPr>
            <w:tcW w:type="dxa" w:w="2160"/>
          </w:tcPr>
          <w:p>
            <w:r>
              <w:t>0.753</w:t>
            </w:r>
          </w:p>
        </w:tc>
        <w:tc>
          <w:tcPr>
            <w:tcW w:type="dxa" w:w="2160"/>
          </w:tcPr>
          <w:p>
            <w:r>
              <w:t>0.397</w:t>
            </w:r>
          </w:p>
        </w:tc>
      </w:tr>
      <w:tr>
        <w:tc>
          <w:tcPr>
            <w:tcW w:type="dxa" w:w="2160"/>
          </w:tcPr>
          <w:p>
            <w:r>
              <w:t>daily demeaning R2</w:t>
            </w:r>
          </w:p>
        </w:tc>
        <w:tc>
          <w:tcPr>
            <w:tcW w:type="dxa" w:w="2160"/>
          </w:tcPr>
          <w:p>
            <w:r>
              <w:t>macro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  <w:tc>
          <w:tcPr>
            <w:tcW w:type="dxa" w:w="2160"/>
          </w:tcPr>
          <w:p>
            <w:r>
              <w:t>0.629</w:t>
            </w:r>
          </w:p>
        </w:tc>
      </w:tr>
      <w:tr>
        <w:tc>
          <w:tcPr>
            <w:tcW w:type="dxa" w:w="2160"/>
          </w:tcPr>
          <w:p>
            <w:r>
              <w:t>daily demeaning MAE</w:t>
            </w:r>
          </w:p>
        </w:tc>
        <w:tc>
          <w:tcPr>
            <w:tcW w:type="dxa" w:w="2160"/>
          </w:tcPr>
          <w:p>
            <w:r>
              <w:t>macro</w:t>
            </w:r>
          </w:p>
        </w:tc>
        <w:tc>
          <w:tcPr>
            <w:tcW w:type="dxa" w:w="2160"/>
          </w:tcPr>
          <w:p>
            <w:r>
              <w:t>16.014</w:t>
            </w:r>
          </w:p>
        </w:tc>
        <w:tc>
          <w:tcPr>
            <w:tcW w:type="dxa" w:w="2160"/>
          </w:tcPr>
          <w:p>
            <w:r>
              <w:t>18.727</w:t>
            </w:r>
          </w:p>
        </w:tc>
      </w:tr>
      <w:tr>
        <w:tc>
          <w:tcPr>
            <w:tcW w:type="dxa" w:w="2160"/>
          </w:tcPr>
          <w:p>
            <w:r>
              <w:t>demeaning: morph share of (morph + bioacoustics)</w:t>
            </w:r>
          </w:p>
        </w:tc>
        <w:tc>
          <w:tcPr>
            <w:tcW w:type="dxa" w:w="2160"/>
          </w:tcPr>
          <w:p>
            <w:r>
              <w:t>&lt;45 d</w:t>
            </w:r>
          </w:p>
        </w:tc>
        <w:tc>
          <w:tcPr>
            <w:tcW w:type="dxa" w:w="2160"/>
          </w:tcPr>
          <w:p>
            <w:r>
              <w:t>0.135</w:t>
            </w:r>
          </w:p>
        </w:tc>
        <w:tc>
          <w:tcPr>
            <w:tcW w:type="dxa" w:w="2160"/>
          </w:tcPr>
          <w:p>
            <w:r>
              <w:t>0.132</w:t>
            </w:r>
          </w:p>
        </w:tc>
      </w:tr>
      <w:tr>
        <w:tc>
          <w:tcPr>
            <w:tcW w:type="dxa" w:w="2160"/>
          </w:tcPr>
          <w:p>
            <w:r>
              <w:t>demeaning: morph share of (morph + bioacoustics)</w:t>
            </w:r>
          </w:p>
        </w:tc>
        <w:tc>
          <w:tcPr>
            <w:tcW w:type="dxa" w:w="2160"/>
          </w:tcPr>
          <w:p>
            <w:r>
              <w:t>&gt;140 d</w:t>
            </w:r>
          </w:p>
        </w:tc>
        <w:tc>
          <w:tcPr>
            <w:tcW w:type="dxa" w:w="2160"/>
          </w:tcPr>
          <w:p>
            <w:r>
              <w:t>0.131</w:t>
            </w:r>
          </w:p>
        </w:tc>
        <w:tc>
          <w:tcPr>
            <w:tcW w:type="dxa" w:w="2160"/>
          </w:tcPr>
          <w:p>
            <w:r>
              <w:t>0.121</w:t>
            </w:r>
          </w:p>
        </w:tc>
      </w:tr>
      <w:tr>
        <w:tc>
          <w:tcPr>
            <w:tcW w:type="dxa" w:w="2160"/>
          </w:tcPr>
          <w:p>
            <w:r>
              <w:t>LORO fused MAE (Step 0 vs primary)</w:t>
            </w:r>
          </w:p>
        </w:tc>
        <w:tc>
          <w:tcPr>
            <w:tcW w:type="dxa" w:w="2160"/>
          </w:tcPr>
          <w:p>
            <w:r>
              <w:t>macro</w:t>
            </w:r>
          </w:p>
        </w:tc>
        <w:tc>
          <w:tcPr>
            <w:tcW w:type="dxa" w:w="2160"/>
          </w:tcPr>
          <w:p>
            <w:r>
              <w:t>14.378</w:t>
            </w:r>
          </w:p>
        </w:tc>
        <w:tc>
          <w:tcPr>
            <w:tcW w:type="dxa" w:w="2160"/>
          </w:tcPr>
          <w:p>
            <w:r>
              <w:t>18.580</w:t>
            </w:r>
          </w:p>
        </w:tc>
      </w:tr>
      <w:tr>
        <w:tc>
          <w:tcPr>
            <w:tcW w:type="dxa" w:w="2160"/>
          </w:tcPr>
          <w:p>
            <w:r>
              <w:t>LORO morphometry-only MAE (Step 0 vs primary)</w:t>
            </w:r>
          </w:p>
        </w:tc>
        <w:tc>
          <w:tcPr>
            <w:tcW w:type="dxa" w:w="2160"/>
          </w:tcPr>
          <w:p>
            <w:r>
              <w:t>macro</w:t>
            </w:r>
          </w:p>
        </w:tc>
        <w:tc>
          <w:tcPr>
            <w:tcW w:type="dxa" w:w="2160"/>
          </w:tcPr>
          <w:p>
            <w:r>
              <w:t>14.577</w:t>
            </w:r>
          </w:p>
        </w:tc>
        <w:tc>
          <w:tcPr>
            <w:tcW w:type="dxa" w:w="2160"/>
          </w:tcPr>
          <w:p>
            <w:r>
              <w:t>17.094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