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21. Transition days recomputed from the clustering curves of the primary pipeline and of the Step 0 settings (first age &gt; 35 d with the smoothed early-cluster share &lt; 0.5; persistence = the share stays below 0.5 for 3 consecutive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clustering settings</w:t>
            </w:r>
          </w:p>
        </w:tc>
        <w:tc>
          <w:tcPr>
            <w:tcW w:type="dxa" w:w="2160"/>
          </w:tcPr>
          <w:p>
            <w:r>
              <w:t>room</w:t>
            </w:r>
          </w:p>
        </w:tc>
        <w:tc>
          <w:tcPr>
            <w:tcW w:type="dxa" w:w="2160"/>
          </w:tcPr>
          <w:p>
            <w:r>
              <w:t>50% crossing (day)</w:t>
            </w:r>
          </w:p>
        </w:tc>
        <w:tc>
          <w:tcPr>
            <w:tcW w:type="dxa" w:w="2160"/>
          </w:tcPr>
          <w:p>
            <w:r>
              <w:t>persistence, 3 consecutive days (day)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room2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room6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room7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Step 0 settings</w:t>
            </w:r>
          </w:p>
        </w:tc>
        <w:tc>
          <w:tcPr>
            <w:tcW w:type="dxa" w:w="2160"/>
          </w:tcPr>
          <w:p>
            <w:r>
              <w:t>room2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  <w:tr>
        <w:tc>
          <w:tcPr>
            <w:tcW w:type="dxa" w:w="2160"/>
          </w:tcPr>
          <w:p>
            <w:r>
              <w:t>Step 0 settings</w:t>
            </w:r>
          </w:p>
        </w:tc>
        <w:tc>
          <w:tcPr>
            <w:tcW w:type="dxa" w:w="2160"/>
          </w:tcPr>
          <w:p>
            <w:r>
              <w:t>room6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Step 0 settings</w:t>
            </w:r>
          </w:p>
        </w:tc>
        <w:tc>
          <w:tcPr>
            <w:tcW w:type="dxa" w:w="2160"/>
          </w:tcPr>
          <w:p>
            <w:r>
              <w:t>room7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