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jc w:val="center"/>
      </w:pPr>
      <w:r>
        <w:rPr>
          <w:b/>
          <w:bCs/>
          <w:color w:val="2E5496"/>
          <w:sz w:val="22"/>
          <w:szCs w:val="22"/>
        </w:rPr>
        <w:t xml:space="preserve">OFFICE NATIONAL DES CHEMINS DE FER — PÔLE MATÉRIEL</w:t>
      </w:r>
    </w:p>
    <w:p>
      <w:pPr>
        <w:spacing w:after="600"/>
        <w:jc w:val="center"/>
      </w:pPr>
      <w:r>
        <w:rPr>
          <w:color w:val="595959"/>
          <w:sz w:val="20"/>
          <w:szCs w:val="20"/>
        </w:rPr>
        <w:t xml:space="preserve">Établissement de Maintenance Industrielle de Zenata (EMIZ)</w:t>
      </w:r>
    </w:p>
    <w:p>
      <w:pPr>
        <w:spacing w:after="120"/>
        <w:jc w:val="center"/>
      </w:pPr>
      <w:r>
        <w:rPr>
          <w:b/>
          <w:bCs/>
          <w:color w:val="1F3864"/>
          <w:sz w:val="56"/>
          <w:szCs w:val="56"/>
        </w:rPr>
        <w:t xml:space="preserve">CAHIER DES CHARGES</w:t>
      </w:r>
    </w:p>
    <w:p>
      <w:pPr>
        <w:spacing w:after="60"/>
        <w:jc w:val="center"/>
      </w:pPr>
      <w:r>
        <w:rPr>
          <w:b/>
          <w:bCs/>
          <w:color w:val="2E75B6"/>
          <w:sz w:val="36"/>
          <w:szCs w:val="36"/>
        </w:rPr>
        <w:t xml:space="preserve">Plateforme numérique DAP</w:t>
      </w:r>
    </w:p>
    <w:p>
      <w:pPr>
        <w:spacing w:after="600"/>
        <w:jc w:val="center"/>
      </w:pPr>
      <w:r>
        <w:rPr>
          <w:i/>
          <w:iCs/>
          <w:color w:val="595959"/>
          <w:sz w:val="26"/>
          <w:szCs w:val="26"/>
        </w:rPr>
        <w:t xml:space="preserve">Demande d'Approvisionnement de Pièces</w:t>
      </w:r>
    </w:p>
    <w:p>
      <w:pPr>
        <w:spacing w:after="40"/>
        <w:jc w:val="center"/>
      </w:pPr>
      <w:r>
        <w:rPr>
          <w:color w:val="595959"/>
          <w:sz w:val="20"/>
          <w:szCs w:val="20"/>
        </w:rPr>
        <w:t xml:space="preserve">Document de référence pour la conception et le développement</w:t>
      </w:r>
    </w:p>
    <w:p>
      <w:pPr>
        <w:spacing w:after="40"/>
        <w:jc w:val="center"/>
      </w:pPr>
      <w:r>
        <w:rPr>
          <w:color w:val="595959"/>
          <w:sz w:val="18"/>
          <w:szCs w:val="18"/>
        </w:rPr>
        <w:t xml:space="preserve">Périmètre : flux d'approvisionnement PDR entre les ateliers du TMIZ et le magasin de la PLP</w:t>
      </w:r>
    </w:p>
    <w:p>
      <w:pPr>
        <w:spacing w:before="800"/>
        <w:jc w:val="center"/>
      </w:pPr>
      <w:r>
        <w:rPr>
          <w:b/>
          <w:bCs/>
          <w:color w:val="2E5496"/>
          <w:sz w:val="20"/>
          <w:szCs w:val="20"/>
        </w:rPr>
        <w:t xml:space="preserve">Version 1.0 — Horizon de mise en service :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Contexte et objet du document</w:t>
      </w:r>
    </w:p>
    <w:p>
      <w:pPr>
        <w:pStyle w:val="Heading2"/>
      </w:pPr>
      <w:r>
        <w:t xml:space="preserve">1.1   Contexte</w:t>
      </w:r>
    </w:p>
    <w:p>
      <w:pPr>
        <w:spacing w:after="120" w:line="276"/>
        <w:jc w:val="both"/>
      </w:pPr>
      <w:r>
        <w:t xml:space="preserve">L'Établissement de Maintenance Industrielle de Zenata (EMIZ), au sein du Pôle Matériel de l'ONCF, est en phase de conception. Le flux d'approvisionnement en pièces de rechange (PDR) entre les ateliers du futur Technicentre de Maintenance Industrielle de Zenata (TMIZ) et le magasin centralisé de la Plateforme Logistique Pièces (PLP) a été identifié comme le processus le plus critique du site.</w:t>
      </w:r>
    </w:p>
    <w:p>
      <w:pPr>
        <w:spacing w:after="120" w:line="276"/>
        <w:jc w:val="both"/>
      </w:pPr>
      <w:r>
        <w:t xml:space="preserve">L'analyse causale menée dans la phase de mesure et d'analyse a démontré que la lourdeur des circuits papier et la déconnexion informationnelle entre la production et la logistique constituent la cause racine majeure des pertes de réactivité. La plateforme DAP (Demande d'Approvisionnement de Pièces) est la réponse numérique conçue pour dématérialiser intégralement ce flux et interconnecter en temps réel le TMIZ et la PLP.</w:t>
      </w:r>
    </w:p>
    <w:p>
      <w:pPr>
        <w:pStyle w:val="Heading2"/>
      </w:pPr>
      <w:r>
        <w:t xml:space="preserve">1.2   Objet du cahier des charges</w:t>
      </w:r>
    </w:p>
    <w:p>
      <w:pPr>
        <w:spacing w:after="120" w:line="276"/>
        <w:jc w:val="both"/>
      </w:pPr>
      <w:r>
        <w:t xml:space="preserve">Le présent document spécifie la plateforme DAP en vue de son développement. Il consolide la matrice des rôles, les spécifications fonctionnelles des modules, la modélisation UML (cas d'utilisation et séquence), le cycle de vie d'une DAP et ses règles de gestion, le modèle de données, les interfaces utilisateurs, les exigences de sécurité et les indicateurs de pilotage.</w:t>
      </w:r>
    </w:p>
    <w:p>
      <w:pPr>
        <w:pStyle w:val="Heading2"/>
      </w:pPr>
      <w:r>
        <w:t xml:space="preserve">1.3   Objectifs assignés à la plateforme</w:t>
      </w:r>
    </w:p>
    <w:p>
      <w:pPr>
        <w:pStyle w:val="ListParagraph"/>
        <w:numPr>
          <w:ilvl w:val="0"/>
          <w:numId w:val="2"/>
        </w:numPr>
        <w:spacing w:after="60" w:line="264"/>
        <w:jc w:val="both"/>
      </w:pPr>
      <w:r>
        <w:t xml:space="preserve">Supprimer le support papier et les déplacements administratifs entre les ateliers du TMIZ et le magasin de la PLP.</w:t>
      </w:r>
    </w:p>
    <w:p>
      <w:pPr>
        <w:pStyle w:val="ListParagraph"/>
        <w:numPr>
          <w:ilvl w:val="0"/>
          <w:numId w:val="2"/>
        </w:numPr>
        <w:spacing w:after="60" w:line="264"/>
        <w:jc w:val="both"/>
      </w:pPr>
      <w:r>
        <w:t xml:space="preserve">Interconnecter en temps réel le TMIZ et la PLP via un flux de données standardisé et immuable.</w:t>
      </w:r>
    </w:p>
    <w:p>
      <w:pPr>
        <w:pStyle w:val="ListParagraph"/>
        <w:numPr>
          <w:ilvl w:val="0"/>
          <w:numId w:val="2"/>
        </w:numPr>
        <w:spacing w:after="60" w:line="264"/>
        <w:jc w:val="both"/>
      </w:pPr>
      <w:r>
        <w:t xml:space="preserve">Garantir la traçabilité intégrale des demandes, des validations et des mouvements de stock.</w:t>
      </w:r>
    </w:p>
    <w:p>
      <w:pPr>
        <w:pStyle w:val="ListParagraph"/>
        <w:numPr>
          <w:ilvl w:val="0"/>
          <w:numId w:val="2"/>
        </w:numPr>
        <w:spacing w:after="60" w:line="264"/>
        <w:jc w:val="both"/>
      </w:pPr>
      <w:r>
        <w:t xml:space="preserve">Réduire le Lead Time administratif d'une DAP à moins de 5 minutes.</w:t>
      </w:r>
    </w:p>
    <w:p>
      <w:pPr>
        <w:pStyle w:val="ListParagraph"/>
        <w:numPr>
          <w:ilvl w:val="0"/>
          <w:numId w:val="2"/>
        </w:numPr>
        <w:spacing w:after="60" w:line="264"/>
        <w:jc w:val="both"/>
      </w:pPr>
      <w:r>
        <w:t xml:space="preserve">Poser le socle d'interconnexion indispensable à l'intégration future de la GMAO centralisée de l'ONCF.</w:t>
      </w:r>
    </w:p>
    <w:p>
      <w:r>
        <w:br w:type="page"/>
      </w:r>
    </w:p>
    <w:p>
      <w:pPr>
        <w:pStyle w:val="Heading1"/>
      </w:pPr>
      <w:r>
        <w:t xml:space="preserve">2.  Acteurs et matrice des rôles</w:t>
      </w:r>
    </w:p>
    <w:p>
      <w:pPr>
        <w:spacing w:after="120" w:line="276"/>
        <w:jc w:val="both"/>
      </w:pPr>
      <w:r>
        <w:t xml:space="preserve">La plateforme repose sur quatre profils utilisateurs distincts, auxquels s'ajoute l'acteur générique « Utilisateur » dont héritent tous les profils (obligation commune de s'authentifier).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Profil utilisateur</w:t>
            </w:r>
          </w:p>
        </w:tc>
        <w:tc>
          <w:tcPr>
            <w:tcW w:type="dxa" w:w="20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Rôle système</w:t>
            </w:r>
          </w:p>
        </w:tc>
        <w:tc>
          <w:tcPr>
            <w:tcW w:type="dxa" w:w="49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Responsabilités fonctionnelles clés</w:t>
            </w:r>
          </w:p>
        </w:tc>
      </w:tr>
      <w:tr>
        <w:tc>
          <w:tcPr>
            <w:tcW w:type="dxa" w:w="2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Chef d'Unité (TMIZ)</w:t>
            </w:r>
          </w:p>
        </w:tc>
        <w:tc>
          <w:tcPr>
            <w:tcW w:type="dxa" w:w="2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Demandeur</w:t>
            </w:r>
          </w:p>
        </w:tc>
        <w:tc>
          <w:tcPr>
            <w:tcW w:type="dxa" w:w="49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Consulter en temps réel le stock disponible à la PLP par nomenclature ; émettre numériquement une DAP (référence, quantité, motif technique) ; suivre l'avancement et le statut de ses demandes depuis son tableau de bord.</w:t>
            </w:r>
          </w:p>
        </w:tc>
      </w:tr>
      <w:tr>
        <w:tc>
          <w:tcPr>
            <w:tcW w:type="dxa" w:w="2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Coordinateur de Production</w:t>
            </w:r>
          </w:p>
        </w:tc>
        <w:tc>
          <w:tcPr>
            <w:tcW w:type="dxa" w:w="2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Validateur</w:t>
            </w:r>
          </w:p>
        </w:tc>
        <w:tc>
          <w:tcPr>
            <w:tcW w:type="dxa" w:w="49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Recevoir instantanément les alertes des DAP émises par ses ateliers ; analyser la cohérence technique ; valider ou rejeter électroniquement la demande selon les priorités de la charge globale.</w:t>
            </w:r>
          </w:p>
        </w:tc>
      </w:tr>
      <w:tr>
        <w:tc>
          <w:tcPr>
            <w:tcW w:type="dxa" w:w="2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Magasinier (PLP)</w:t>
            </w:r>
          </w:p>
        </w:tc>
        <w:tc>
          <w:tcPr>
            <w:tcW w:type="dxa" w:w="2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Exécutant / Opérateur</w:t>
            </w:r>
          </w:p>
        </w:tc>
        <w:tc>
          <w:tcPr>
            <w:tcW w:type="dxa" w:w="49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Visualiser la file d'attente exclusive des DAP validées ; effectuer le prélèvement physique, préparer les kits, enregistrer la sortie définitive ; déclencher la mise à jour automatique du stock et réaliser les inventaires périodiques.</w:t>
            </w:r>
          </w:p>
        </w:tc>
      </w:tr>
      <w:tr>
        <w:tc>
          <w:tcPr>
            <w:tcW w:type="dxa" w:w="2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Cellule Supply Chain</w:t>
            </w:r>
          </w:p>
        </w:tc>
        <w:tc>
          <w:tcPr>
            <w:tcW w:type="dxa" w:w="2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Superviseur</w:t>
            </w:r>
          </w:p>
        </w:tc>
        <w:tc>
          <w:tcPr>
            <w:tcW w:type="dxa" w:w="49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Auditer les flux de demande et les consommations par atelier ; piloter les KPI ; analyser les écarts stock théorique / physique ; traiter les alertes de seuil critique et de rupture.</w:t>
            </w:r>
          </w:p>
        </w:tc>
      </w:tr>
    </w:tbl>
    <w:p>
      <w:pPr>
        <w:spacing w:after="180" w:before="100"/>
        <w:jc w:val="center"/>
      </w:pPr>
      <w:r>
        <w:rPr>
          <w:i/>
          <w:iCs/>
          <w:color w:val="595959"/>
          <w:sz w:val="18"/>
          <w:szCs w:val="18"/>
        </w:rPr>
        <w:t xml:space="preserve">Tableau 1 — Matrice des acteurs et responsabilités (source : Tableau 4.1 du rapport)</w:t>
      </w:r>
    </w:p>
    <w:p>
      <w:r>
        <w:br w:type="page"/>
      </w:r>
    </w:p>
    <w:p>
      <w:pPr>
        <w:pStyle w:val="Heading1"/>
      </w:pPr>
      <w:r>
        <w:t xml:space="preserve">3.  Spécifications fonctionnelles des modules</w:t>
      </w:r>
    </w:p>
    <w:p>
      <w:pPr>
        <w:spacing w:after="120" w:line="276"/>
        <w:jc w:val="both"/>
      </w:pPr>
      <w:r>
        <w:t xml:space="preserve">La plateforme s'articule autour de cinq modules applicatifs spécifiés à partir des ateliers de conception avec les experts métiers de l'ONCF (source : Tableau 4.2 du rapport).</w:t>
      </w:r>
    </w:p>
    <w:p>
      <w:pPr>
        <w:pStyle w:val="Heading2"/>
      </w:pPr>
      <w:r>
        <w:t xml:space="preserve">3.1   Module 1 — Consultation du stock</w:t>
      </w:r>
    </w:p>
    <w:p>
      <w:pPr>
        <w:pStyle w:val="ListParagraph"/>
        <w:numPr>
          <w:ilvl w:val="0"/>
          <w:numId w:val="2"/>
        </w:numPr>
        <w:spacing w:after="60" w:line="264"/>
        <w:jc w:val="both"/>
      </w:pPr>
      <w:r>
        <w:t xml:space="preserve">Recherche multicritère : par référence d'article, par nomenclature ferroviaire ONCF, ou par atelier de destination.</w:t>
      </w:r>
    </w:p>
    <w:p>
      <w:pPr>
        <w:pStyle w:val="ListParagraph"/>
        <w:numPr>
          <w:ilvl w:val="0"/>
          <w:numId w:val="2"/>
        </w:numPr>
        <w:spacing w:after="60" w:line="264"/>
        <w:jc w:val="both"/>
      </w:pPr>
      <w:r>
        <w:t xml:space="preserve">Affichage en temps réel des quantités disponibles au magasin de la PLP.</w:t>
      </w:r>
    </w:p>
    <w:p>
      <w:pPr>
        <w:pStyle w:val="ListParagraph"/>
        <w:numPr>
          <w:ilvl w:val="0"/>
          <w:numId w:val="2"/>
        </w:numPr>
        <w:spacing w:after="60" w:line="264"/>
        <w:jc w:val="both"/>
      </w:pPr>
      <w:r>
        <w:t xml:space="preserve">Affichage des emplacements géographiques de stockage (allée, travée, étagère), des seuils de sécurité et de l'historique des derniers mouvements.</w:t>
      </w:r>
    </w:p>
    <w:p>
      <w:pPr>
        <w:pStyle w:val="Heading2"/>
      </w:pPr>
      <w:r>
        <w:t xml:space="preserve">3.2   Module 2 — Émission de DAP</w:t>
      </w:r>
    </w:p>
    <w:p>
      <w:pPr>
        <w:pStyle w:val="ListParagraph"/>
        <w:numPr>
          <w:ilvl w:val="0"/>
          <w:numId w:val="2"/>
        </w:numPr>
        <w:spacing w:after="60" w:line="264"/>
        <w:jc w:val="both"/>
      </w:pPr>
      <w:r>
        <w:t xml:space="preserve">Formulaire d'édition standardisé et simplifié.</w:t>
      </w:r>
    </w:p>
    <w:p>
      <w:pPr>
        <w:pStyle w:val="ListParagraph"/>
        <w:numPr>
          <w:ilvl w:val="0"/>
          <w:numId w:val="2"/>
        </w:numPr>
        <w:spacing w:after="60" w:line="264"/>
        <w:jc w:val="both"/>
      </w:pPr>
      <w:r>
        <w:t xml:space="preserve">Contrôles de cohérence automatiques (champs obligatoires, formatage de la référence).</w:t>
      </w:r>
    </w:p>
    <w:p>
      <w:pPr>
        <w:pStyle w:val="ListParagraph"/>
        <w:numPr>
          <w:ilvl w:val="0"/>
          <w:numId w:val="2"/>
        </w:numPr>
        <w:spacing w:after="60" w:line="264"/>
        <w:jc w:val="both"/>
      </w:pPr>
      <w:r>
        <w:t xml:space="preserve">Sélection intuitive de l'article et saisie des volumes requis.</w:t>
      </w:r>
    </w:p>
    <w:p>
      <w:pPr>
        <w:pStyle w:val="ListParagraph"/>
        <w:numPr>
          <w:ilvl w:val="0"/>
          <w:numId w:val="2"/>
        </w:numPr>
        <w:spacing w:after="60" w:line="264"/>
        <w:jc w:val="both"/>
      </w:pPr>
      <w:r>
        <w:t xml:space="preserve">Sélection obligatoire du motif technique (maintenance préventive, corrective, remplacement d'organe) avec champ de commentaire libre.</w:t>
      </w:r>
    </w:p>
    <w:p>
      <w:pPr>
        <w:pStyle w:val="Heading2"/>
      </w:pPr>
      <w:r>
        <w:t xml:space="preserve">3.3   Module 3 — Workflow de validation</w:t>
      </w:r>
    </w:p>
    <w:p>
      <w:pPr>
        <w:pStyle w:val="ListParagraph"/>
        <w:numPr>
          <w:ilvl w:val="0"/>
          <w:numId w:val="2"/>
        </w:numPr>
        <w:spacing w:after="60" w:line="264"/>
        <w:jc w:val="both"/>
      </w:pPr>
      <w:r>
        <w:t xml:space="preserve">Interface décisionnelle épurée destinée au Coordinateur de Production.</w:t>
      </w:r>
    </w:p>
    <w:p>
      <w:pPr>
        <w:pStyle w:val="ListParagraph"/>
        <w:numPr>
          <w:ilvl w:val="0"/>
          <w:numId w:val="2"/>
        </w:numPr>
        <w:spacing w:after="60" w:line="264"/>
        <w:jc w:val="both"/>
      </w:pPr>
      <w:r>
        <w:t xml:space="preserve">Notification instantanée des flux de DAP entrants.</w:t>
      </w:r>
    </w:p>
    <w:p>
      <w:pPr>
        <w:pStyle w:val="ListParagraph"/>
        <w:numPr>
          <w:ilvl w:val="0"/>
          <w:numId w:val="2"/>
        </w:numPr>
        <w:spacing w:after="60" w:line="264"/>
        <w:jc w:val="both"/>
      </w:pPr>
      <w:r>
        <w:t xml:space="preserve">Trois actions possibles : approbation totale, modification partielle, rejet motivé.</w:t>
      </w:r>
    </w:p>
    <w:p>
      <w:pPr>
        <w:pStyle w:val="ListParagraph"/>
        <w:numPr>
          <w:ilvl w:val="0"/>
          <w:numId w:val="2"/>
        </w:numPr>
        <w:spacing w:after="60" w:line="264"/>
        <w:jc w:val="both"/>
      </w:pPr>
      <w:r>
        <w:t xml:space="preserve">Chaque action met instantanément à jour le statut en base et trace l'historique de la décision.</w:t>
      </w:r>
    </w:p>
    <w:p>
      <w:pPr>
        <w:pStyle w:val="Heading2"/>
      </w:pPr>
      <w:r>
        <w:t xml:space="preserve">3.4   Module 4 — Traitement logistique</w:t>
      </w:r>
    </w:p>
    <w:p>
      <w:pPr>
        <w:pStyle w:val="ListParagraph"/>
        <w:numPr>
          <w:ilvl w:val="0"/>
          <w:numId w:val="2"/>
        </w:numPr>
        <w:spacing w:after="60" w:line="264"/>
        <w:jc w:val="both"/>
      </w:pPr>
      <w:r>
        <w:t xml:space="preserve">File d'attente dynamique réservée aux magasiniers de la PLP, affichant uniquement les DAP au statut VALIDÉE.</w:t>
      </w:r>
    </w:p>
    <w:p>
      <w:pPr>
        <w:pStyle w:val="ListParagraph"/>
        <w:numPr>
          <w:ilvl w:val="0"/>
          <w:numId w:val="2"/>
        </w:numPr>
        <w:spacing w:after="60" w:line="264"/>
        <w:jc w:val="both"/>
      </w:pPr>
      <w:r>
        <w:t xml:space="preserve">Génération automatique d'un bon de préparation numérique optimisé par zone de prélèvement.</w:t>
      </w:r>
    </w:p>
    <w:p>
      <w:pPr>
        <w:pStyle w:val="ListParagraph"/>
        <w:numPr>
          <w:ilvl w:val="0"/>
          <w:numId w:val="2"/>
        </w:numPr>
        <w:spacing w:after="60" w:line="264"/>
        <w:jc w:val="both"/>
      </w:pPr>
      <w:r>
        <w:t xml:space="preserve">La validation finale de la remise physique déclenche la décrémentation des inventaires.</w:t>
      </w:r>
    </w:p>
    <w:p>
      <w:pPr>
        <w:pStyle w:val="Heading2"/>
      </w:pPr>
      <w:r>
        <w:t xml:space="preserve">3.5   Module 5 — Sécurité et journalisation</w:t>
      </w:r>
    </w:p>
    <w:p>
      <w:pPr>
        <w:pStyle w:val="ListParagraph"/>
        <w:numPr>
          <w:ilvl w:val="0"/>
          <w:numId w:val="2"/>
        </w:numPr>
        <w:spacing w:after="60" w:line="264"/>
        <w:jc w:val="both"/>
      </w:pPr>
      <w:r>
        <w:t xml:space="preserve">Gestion des accès basée sur les rôles (RBAC) ; authentification obligatoire pour chaque profil.</w:t>
      </w:r>
    </w:p>
    <w:p>
      <w:pPr>
        <w:pStyle w:val="ListParagraph"/>
        <w:numPr>
          <w:ilvl w:val="0"/>
          <w:numId w:val="2"/>
        </w:numPr>
        <w:spacing w:after="60" w:line="264"/>
        <w:jc w:val="both"/>
      </w:pPr>
      <w:r>
        <w:t xml:space="preserve">Journal d'audit complet (Log System) enregistrant de manière immuable l'identifiant de l'opérateur, la date et l'heure de chaque création, modification ou validation de mouvement.</w:t>
      </w:r>
    </w:p>
    <w:p>
      <w:r>
        <w:br w:type="page"/>
      </w:r>
    </w:p>
    <w:p>
      <w:pPr>
        <w:pStyle w:val="Heading1"/>
      </w:pPr>
      <w:r>
        <w:t xml:space="preserve">4.  Modélisation UML — Cas d'utilisation</w:t>
      </w:r>
    </w:p>
    <w:p>
      <w:pPr>
        <w:spacing w:after="120" w:line="276"/>
        <w:jc w:val="both"/>
      </w:pPr>
      <w:r>
        <w:t xml:space="preserve">Source : Figure 4.5 du rapport. Le diagramme délimite les frontières du système et définit les droits d'interaction de chaque acteur.</w:t>
      </w:r>
    </w:p>
    <w:p>
      <w:pPr>
        <w:pStyle w:val="Heading2"/>
      </w:pPr>
      <w:r>
        <w:t xml:space="preserve">4.1   Acteurs et héritage</w:t>
      </w:r>
    </w:p>
    <w:p>
      <w:pPr>
        <w:spacing w:after="120" w:line="276"/>
        <w:jc w:val="both"/>
      </w:pPr>
      <w:r>
        <w:t xml:space="preserve">Les acteurs métiers (Chef d'Unité, Magasinier, Coordinateur de Production, Resp. Supply Chaine / Approvisionnement) héritent tous de l'acteur générique « Utilisateur », ce qui formalise leur obligation commune de s'authentifier.</w:t>
      </w:r>
    </w:p>
    <w:p>
      <w:pPr>
        <w:pStyle w:val="Heading2"/>
      </w:pPr>
      <w:r>
        <w:t xml:space="preserve">4.2   Cas d'utilisation et relations</w:t>
      </w:r>
    </w:p>
    <w:p>
      <w:pPr>
        <w:pStyle w:val="ListParagraph"/>
        <w:numPr>
          <w:ilvl w:val="0"/>
          <w:numId w:val="2"/>
        </w:numPr>
        <w:spacing w:after="60" w:line="264"/>
        <w:jc w:val="both"/>
      </w:pPr>
      <w:r>
        <w:rPr>
          <w:b/>
          <w:bCs/>
        </w:rPr>
        <w:t xml:space="preserve">S'authentifier</w:t>
      </w:r>
      <w:r>
        <w:t xml:space="preserve"> est le cas pivot. Toutes les transactions métiers (Créer une DAP, Consulter le stock, Suivre l'état de DAP, Enregistrer les sorties et les entrées, Valider / Refuser une DAP, Voir l'historique des demandes, Consulter les mouvements) y sont reliées par une relation d'inclusion systématique </w:t>
      </w:r>
      <w:r>
        <w:rPr>
          <w:b/>
          <w:bCs/>
        </w:rPr>
        <w:t xml:space="preserve">«include»</w:t>
      </w:r>
      <w:r>
        <w:t xml:space="preserve">.</w:t>
      </w:r>
    </w:p>
    <w:p>
      <w:pPr>
        <w:pStyle w:val="ListParagraph"/>
        <w:numPr>
          <w:ilvl w:val="0"/>
          <w:numId w:val="2"/>
        </w:numPr>
        <w:spacing w:after="60" w:line="264"/>
        <w:jc w:val="both"/>
      </w:pPr>
      <w:r>
        <w:rPr>
          <w:b/>
          <w:bCs/>
        </w:rPr>
        <w:t xml:space="preserve">Créer une DAP</w:t>
      </w:r>
      <w:r>
        <w:t xml:space="preserve"> inclut </w:t>
      </w:r>
      <w:r>
        <w:rPr>
          <w:b/>
          <w:bCs/>
        </w:rPr>
        <w:t xml:space="preserve">«include»</w:t>
      </w:r>
      <w:r>
        <w:t xml:space="preserve"> « Consulter le stock ».</w:t>
      </w:r>
    </w:p>
    <w:p>
      <w:pPr>
        <w:pStyle w:val="ListParagraph"/>
        <w:numPr>
          <w:ilvl w:val="0"/>
          <w:numId w:val="2"/>
        </w:numPr>
        <w:spacing w:after="60" w:line="264"/>
        <w:jc w:val="both"/>
      </w:pPr>
      <w:r>
        <w:rPr>
          <w:b/>
          <w:bCs/>
        </w:rPr>
        <w:t xml:space="preserve">Consulter le stock</w:t>
      </w:r>
      <w:r>
        <w:t xml:space="preserve"> est étendu </w:t>
      </w:r>
      <w:r>
        <w:rPr>
          <w:b/>
          <w:bCs/>
        </w:rPr>
        <w:t xml:space="preserve">«extend»</w:t>
      </w:r>
      <w:r>
        <w:t xml:space="preserve"> par « Alerte en cas de rupture de stock », déclenché automatiquement dès que la quantité en base atteint un niveau inférieur ou égal au seuil critique défini par la Supply Chain.</w:t>
      </w:r>
    </w:p>
    <w:p>
      <w:pPr>
        <w:pStyle w:val="Heading2"/>
      </w:pPr>
      <w:r>
        <w:t xml:space="preserve">4.3   Affectation des cas par acteur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Acteur</w:t>
            </w:r>
          </w:p>
        </w:tc>
        <w:tc>
          <w:tcPr>
            <w:tcW w:type="dxa" w:w="59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Cas d'utilisation</w:t>
            </w:r>
          </w:p>
        </w:tc>
      </w:tr>
      <w:tr>
        <w:tc>
          <w:tcPr>
            <w:tcW w:type="dxa" w:w="3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Chef d'Unité</w:t>
            </w:r>
          </w:p>
        </w:tc>
        <w:tc>
          <w:tcPr>
            <w:tcW w:type="dxa" w:w="59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Créer une DAP, Consulter le stock, Suivre l'état de DAP</w:t>
            </w:r>
          </w:p>
        </w:tc>
      </w:tr>
      <w:tr>
        <w:tc>
          <w:tcPr>
            <w:tcW w:type="dxa" w:w="3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Coordinateur de Production</w:t>
            </w:r>
          </w:p>
        </w:tc>
        <w:tc>
          <w:tcPr>
            <w:tcW w:type="dxa" w:w="59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Valider / Refuser une DAP, Voir l'historique des demandes</w:t>
            </w:r>
          </w:p>
        </w:tc>
      </w:tr>
      <w:tr>
        <w:tc>
          <w:tcPr>
            <w:tcW w:type="dxa" w:w="3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Magasinier</w:t>
            </w:r>
          </w:p>
        </w:tc>
        <w:tc>
          <w:tcPr>
            <w:tcW w:type="dxa" w:w="59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Enregistrer les sorties et les entrées, Consulter les mouvements</w:t>
            </w:r>
          </w:p>
        </w:tc>
      </w:tr>
      <w:tr>
        <w:tc>
          <w:tcPr>
            <w:tcW w:type="dxa" w:w="3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Resp. Supply Chaine / Approvisionnement</w:t>
            </w:r>
          </w:p>
        </w:tc>
        <w:tc>
          <w:tcPr>
            <w:tcW w:type="dxa" w:w="59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Consulter les mouvements, Voir l'historique des demandes, traitement des alertes de rupture</w:t>
            </w:r>
          </w:p>
        </w:tc>
      </w:tr>
      <w:tr>
        <w:tc>
          <w:tcPr>
            <w:tcW w:type="dxa" w:w="3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Utilisateur (générique)</w:t>
            </w:r>
          </w:p>
        </w:tc>
        <w:tc>
          <w:tcPr>
            <w:tcW w:type="dxa" w:w="59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S'authentifier (hérité par tous les acteurs)</w:t>
            </w:r>
          </w:p>
        </w:tc>
      </w:tr>
    </w:tbl>
    <w:p>
      <w:pPr>
        <w:spacing w:after="180" w:before="100"/>
        <w:jc w:val="center"/>
      </w:pPr>
      <w:r>
        <w:rPr>
          <w:i/>
          <w:iCs/>
          <w:color w:val="595959"/>
          <w:sz w:val="18"/>
          <w:szCs w:val="18"/>
        </w:rPr>
        <w:t xml:space="preserve">Tableau 2 — Affectation des cas d'utilisation (source : diagramme de cas d'utilisation, Figure 4.5)</w:t>
      </w:r>
    </w:p>
    <w:p>
      <w:r>
        <w:br w:type="page"/>
      </w:r>
    </w:p>
    <w:p>
      <w:pPr>
        <w:pStyle w:val="Heading1"/>
      </w:pPr>
      <w:r>
        <w:t xml:space="preserve">5.  Modélisation UML — Diagramme de séquence</w:t>
      </w:r>
    </w:p>
    <w:p>
      <w:pPr>
        <w:spacing w:after="120" w:line="276"/>
        <w:jc w:val="both"/>
      </w:pPr>
      <w:r>
        <w:t xml:space="preserve">Source : Figure 4.6 du rapport. Le scénario nominal et ses alternatives s'organisent en cinq phases, mettant en jeu les acteurs, l'Interface DAP, le Système d'authentification et la base de données.</w:t>
      </w:r>
    </w:p>
    <w:p>
      <w:pPr>
        <w:pStyle w:val="Heading2"/>
      </w:pPr>
      <w:r>
        <w:t xml:space="preserve">5.1   Authentification</w:t>
      </w:r>
    </w:p>
    <w:p>
      <w:pPr>
        <w:spacing w:after="120" w:line="276"/>
        <w:jc w:val="both"/>
      </w:pPr>
      <w:r>
        <w:t xml:space="preserve">L'utilisateur saisit ses identifiants via l'Interface DAP. Le Système d'authentification appelle VérifierIdentifiants() sur la base de données, puis renvoie « Accès accordé » et ouvre l'espace de travail personnalisé correspondant au profil.</w:t>
      </w:r>
    </w:p>
    <w:p>
      <w:pPr>
        <w:pStyle w:val="Heading2"/>
      </w:pPr>
      <w:r>
        <w:t xml:space="preserve">5.2   Analyse de disponibilité et création conditionnelle (Alt)</w:t>
      </w:r>
    </w:p>
    <w:p>
      <w:pPr>
        <w:spacing w:after="120" w:line="276"/>
        <w:jc w:val="both"/>
      </w:pPr>
      <w:r>
        <w:t xml:space="preserve">Le Chef d'Unité initie « Demande consultation du stock » par nomenclature. L'interface appelle getQuantiteDisponible(article) sur la base de données. La base retourne la quantité X.</w:t>
      </w:r>
    </w:p>
    <w:p>
      <w:pPr>
        <w:spacing w:after="120" w:line="276"/>
        <w:jc w:val="both"/>
      </w:pPr>
      <w:r>
        <w:rPr>
          <w:b/>
          <w:bCs/>
        </w:rPr>
        <w:t xml:space="preserve">Scénario stock disponible (X &gt; 0) : </w:t>
      </w:r>
      <w:r>
        <w:t xml:space="preserve">l'interface affiche « Quantité disponible : X ». Le Chef d'Unité renseigne le formulaire et valide via « Saisit les détails de la DAP ». L'interface appelle creerDAP("en attente"). La base confirme l'enregistrement et l'interface pousse instantanément « Notification : Nouvelle DAP à valider » sur l'interface du Coordinateur de Production.</w:t>
      </w:r>
    </w:p>
    <w:p>
      <w:pPr>
        <w:spacing w:after="120" w:line="276"/>
        <w:jc w:val="both"/>
      </w:pPr>
      <w:r>
        <w:rPr>
          <w:b/>
          <w:bCs/>
        </w:rPr>
        <w:t xml:space="preserve">Scénario stock indisponible (X = 0) : </w:t>
      </w:r>
      <w:r>
        <w:t xml:space="preserve">l'interface bloque l'action, affiche « Article en rupture de stock » et exécute de manière asynchrone « Alerte : Rupture de stock détectée(article) » vers la Cellule Supply Chain, qui traite l'alerte (ex. planifier un réapprovisionnement).</w:t>
      </w:r>
    </w:p>
    <w:p>
      <w:pPr>
        <w:pStyle w:val="Heading2"/>
      </w:pPr>
      <w:r>
        <w:t xml:space="preserve">5.3   Validation hiérarchique (Alt)</w:t>
      </w:r>
    </w:p>
    <w:p>
      <w:pPr>
        <w:spacing w:after="120" w:line="276"/>
        <w:jc w:val="both"/>
      </w:pPr>
      <w:r>
        <w:t xml:space="preserve">Le Coordinateur s'authentifie et appelle sa file d'attente via « Consulte sa file de validation ». L'interface exécute getDAPEnAttente(). Le système affiche le détail de la demande.</w:t>
      </w:r>
    </w:p>
    <w:p>
      <w:pPr>
        <w:spacing w:after="120" w:line="276"/>
        <w:jc w:val="both"/>
      </w:pPr>
      <w:r>
        <w:rPr>
          <w:b/>
          <w:bCs/>
        </w:rPr>
        <w:t xml:space="preserve">Alternative approbation : </w:t>
      </w:r>
      <w:r>
        <w:t xml:space="preserve">le Coordinateur sélectionne l'option de validation. L'application exécute updateStatutDAP("validée"). La base confirme la mise à jour et pousse « Notification : Nouvelle tâche de préparation » vers la file du magasin de la PLP.</w:t>
      </w:r>
    </w:p>
    <w:p>
      <w:pPr>
        <w:spacing w:after="120" w:line="276"/>
        <w:jc w:val="both"/>
      </w:pPr>
      <w:r>
        <w:rPr>
          <w:b/>
          <w:bCs/>
        </w:rPr>
        <w:t xml:space="preserve">Alternative rejet : </w:t>
      </w:r>
      <w:r>
        <w:t xml:space="preserve">le Coordinateur saisit un motif obligatoire et sélectionne l'option de refus. L'application exécute updateStatutDAP("rejetée"). Le statut est immédiatement mis à jour sur le tableau de bord du demandeur.</w:t>
      </w:r>
    </w:p>
    <w:p>
      <w:pPr>
        <w:pStyle w:val="Heading2"/>
      </w:pPr>
      <w:r>
        <w:t xml:space="preserve">5.4   Exécution logistique</w:t>
      </w:r>
    </w:p>
    <w:p>
      <w:pPr>
        <w:spacing w:after="120" w:line="276"/>
        <w:jc w:val="both"/>
      </w:pPr>
      <w:r>
        <w:t xml:space="preserve">Le Magasinier de la PLP consulte sa file d'attente exclusive. Après la préparation physique des articles, il clique sur le bouton de confirmation via « Enregistre la sortie de stock ».</w:t>
      </w:r>
    </w:p>
    <w:p>
      <w:pPr>
        <w:pStyle w:val="Heading2"/>
      </w:pPr>
      <w:r>
        <w:t xml:space="preserve">5.5   Synchronisation et historisation (Loop)</w:t>
      </w:r>
    </w:p>
    <w:p>
      <w:pPr>
        <w:spacing w:after="120" w:line="276"/>
        <w:jc w:val="both"/>
      </w:pPr>
      <w:r>
        <w:t xml:space="preserve">L'application appelle immédiatement mettreAjourStockReel() pour décrémenter l'inventaire de la PLP, puis historiserMouvement() pour figer la transaction dans le journal d'audit immuable, avant de renvoyer une confirmation de mise à jour réussie. La phase de suivi et supervision boucle sur ces opérations.</w:t>
      </w:r>
    </w:p>
    <w:p>
      <w:pPr>
        <w:pStyle w:val="Heading2"/>
      </w:pPr>
      <w:r>
        <w:t xml:space="preserve">5.6   Synthèse des messages système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4160"/>
      </w:tblGrid>
      <w:tr>
        <w:trPr>
          <w:tblHeader/>
        </w:trPr>
        <w:tc>
          <w:tcPr>
            <w:tcW w:type="dxa" w:w="31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Message / méthode</w:t>
            </w:r>
          </w:p>
        </w:tc>
        <w:tc>
          <w:tcPr>
            <w:tcW w:type="dxa" w:w="21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Phase</w:t>
            </w:r>
          </w:p>
        </w:tc>
        <w:tc>
          <w:tcPr>
            <w:tcW w:type="dxa" w:w="41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Description</w:t>
            </w:r>
          </w:p>
        </w:tc>
      </w:tr>
      <w:tr>
        <w:tc>
          <w:tcPr>
            <w:tcW w:type="dxa" w:w="3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VérifierIdentifiants()</w:t>
            </w:r>
          </w:p>
        </w:tc>
        <w:tc>
          <w:tcPr>
            <w:tcW w:type="dxa" w:w="2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Authentification</w:t>
            </w:r>
          </w:p>
        </w:tc>
        <w:tc>
          <w:tcPr>
            <w:tcW w:type="dxa" w:w="41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Contrôle des identifiants et ouverture de session.</w:t>
            </w:r>
          </w:p>
        </w:tc>
      </w:tr>
      <w:tr>
        <w:tc>
          <w:tcPr>
            <w:tcW w:type="dxa" w:w="3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getQuantiteDisponible(article)</w:t>
            </w:r>
          </w:p>
        </w:tc>
        <w:tc>
          <w:tcPr>
            <w:tcW w:type="dxa" w:w="2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Consultation stock</w:t>
            </w:r>
          </w:p>
        </w:tc>
        <w:tc>
          <w:tcPr>
            <w:tcW w:type="dxa" w:w="41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Retourne la quantité théorique X de l'article.</w:t>
            </w:r>
          </w:p>
        </w:tc>
      </w:tr>
      <w:tr>
        <w:tc>
          <w:tcPr>
            <w:tcW w:type="dxa" w:w="3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creerDAP("en attente")</w:t>
            </w:r>
          </w:p>
        </w:tc>
        <w:tc>
          <w:tcPr>
            <w:tcW w:type="dxa" w:w="2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Émission DAP</w:t>
            </w:r>
          </w:p>
        </w:tc>
        <w:tc>
          <w:tcPr>
            <w:tcW w:type="dxa" w:w="41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Enregistre une nouvelle demande au statut « en attente ».</w:t>
            </w:r>
          </w:p>
        </w:tc>
      </w:tr>
      <w:tr>
        <w:tc>
          <w:tcPr>
            <w:tcW w:type="dxa" w:w="3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getDAPEnAttente()</w:t>
            </w:r>
          </w:p>
        </w:tc>
        <w:tc>
          <w:tcPr>
            <w:tcW w:type="dxa" w:w="2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Validation</w:t>
            </w:r>
          </w:p>
        </w:tc>
        <w:tc>
          <w:tcPr>
            <w:tcW w:type="dxa" w:w="41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Liste les DAP en attente pour le Coordinateur.</w:t>
            </w:r>
          </w:p>
        </w:tc>
      </w:tr>
      <w:tr>
        <w:tc>
          <w:tcPr>
            <w:tcW w:type="dxa" w:w="3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updateStatutDAP(statut)</w:t>
            </w:r>
          </w:p>
        </w:tc>
        <w:tc>
          <w:tcPr>
            <w:tcW w:type="dxa" w:w="2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Validation</w:t>
            </w:r>
          </w:p>
        </w:tc>
        <w:tc>
          <w:tcPr>
            <w:tcW w:type="dxa" w:w="41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Met à jour le statut : validée ou rejetée.</w:t>
            </w:r>
          </w:p>
        </w:tc>
      </w:tr>
      <w:tr>
        <w:tc>
          <w:tcPr>
            <w:tcW w:type="dxa" w:w="3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mettreAjourStockReel()</w:t>
            </w:r>
          </w:p>
        </w:tc>
        <w:tc>
          <w:tcPr>
            <w:tcW w:type="dxa" w:w="2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Exécution</w:t>
            </w:r>
          </w:p>
        </w:tc>
        <w:tc>
          <w:tcPr>
            <w:tcW w:type="dxa" w:w="41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Décrémente l'inventaire réel après confirmation de sortie.</w:t>
            </w:r>
          </w:p>
        </w:tc>
      </w:tr>
      <w:tr>
        <w:tc>
          <w:tcPr>
            <w:tcW w:type="dxa" w:w="3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historiserMouvement()</w:t>
            </w:r>
          </w:p>
        </w:tc>
        <w:tc>
          <w:tcPr>
            <w:tcW w:type="dxa" w:w="2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Historisation</w:t>
            </w:r>
          </w:p>
        </w:tc>
        <w:tc>
          <w:tcPr>
            <w:tcW w:type="dxa" w:w="41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Fige le mouvement dans le journal d'audit immuable.</w:t>
            </w:r>
          </w:p>
        </w:tc>
      </w:tr>
    </w:tbl>
    <w:p>
      <w:pPr>
        <w:spacing w:after="180" w:before="100"/>
        <w:jc w:val="center"/>
      </w:pPr>
      <w:r>
        <w:rPr>
          <w:i/>
          <w:iCs/>
          <w:color w:val="595959"/>
          <w:sz w:val="18"/>
          <w:szCs w:val="18"/>
        </w:rPr>
        <w:t xml:space="preserve">Tableau 3 — Messages issus du diagramme de séquence (source : Figure 4.6)</w:t>
      </w:r>
    </w:p>
    <w:p>
      <w:r>
        <w:br w:type="page"/>
      </w:r>
    </w:p>
    <w:p>
      <w:pPr>
        <w:pStyle w:val="Heading1"/>
      </w:pPr>
      <w:r>
        <w:t xml:space="preserve">6.  Cycle de vie d'une DAP et règles de gestion</w:t>
      </w:r>
    </w:p>
    <w:p>
      <w:pPr>
        <w:pStyle w:val="Heading2"/>
      </w:pPr>
      <w:r>
        <w:t xml:space="preserve">6.1   Statuts d'une DAP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Statut</w:t>
            </w:r>
          </w:p>
        </w:tc>
        <w:tc>
          <w:tcPr>
            <w:tcW w:type="dxa" w:w="43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Déclencheur</w:t>
            </w:r>
          </w:p>
        </w:tc>
        <w:tc>
          <w:tcPr>
            <w:tcW w:type="dxa" w:w="30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Transition possible</w:t>
            </w:r>
          </w:p>
        </w:tc>
      </w:tr>
      <w:tr>
        <w:tc>
          <w:tcPr>
            <w:tcW w:type="dxa" w:w="2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En attente</w:t>
            </w:r>
          </w:p>
        </w:tc>
        <w:tc>
          <w:tcPr>
            <w:tcW w:type="dxa" w:w="43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À la création par le Chef d'Unité (stock disponible).</w:t>
            </w:r>
          </w:p>
        </w:tc>
        <w:tc>
          <w:tcPr>
            <w:tcW w:type="dxa" w:w="3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Validée ou Rejetée</w:t>
            </w:r>
          </w:p>
        </w:tc>
      </w:tr>
      <w:tr>
        <w:tc>
          <w:tcPr>
            <w:tcW w:type="dxa" w:w="2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Validée</w:t>
            </w:r>
          </w:p>
        </w:tc>
        <w:tc>
          <w:tcPr>
            <w:tcW w:type="dxa" w:w="43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Après approbation du Coordinateur de Production.</w:t>
            </w:r>
          </w:p>
        </w:tc>
        <w:tc>
          <w:tcPr>
            <w:tcW w:type="dxa" w:w="3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Traitée (par le Magasinier)</w:t>
            </w:r>
          </w:p>
        </w:tc>
      </w:tr>
      <w:tr>
        <w:tc>
          <w:tcPr>
            <w:tcW w:type="dxa" w:w="2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Rejetée</w:t>
            </w:r>
          </w:p>
        </w:tc>
        <w:tc>
          <w:tcPr>
            <w:tcW w:type="dxa" w:w="43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Après refus motivé du Coordinateur de Production.</w:t>
            </w:r>
          </w:p>
        </w:tc>
        <w:tc>
          <w:tcPr>
            <w:tcW w:type="dxa" w:w="3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Terminal (visible par le demandeur)</w:t>
            </w:r>
          </w:p>
        </w:tc>
      </w:tr>
      <w:tr>
        <w:tc>
          <w:tcPr>
            <w:tcW w:type="dxa" w:w="2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Traitée</w:t>
            </w:r>
          </w:p>
        </w:tc>
        <w:tc>
          <w:tcPr>
            <w:tcW w:type="dxa" w:w="43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Après enregistrement de la sortie physique par le Magasinier.</w:t>
            </w:r>
          </w:p>
        </w:tc>
        <w:tc>
          <w:tcPr>
            <w:tcW w:type="dxa" w:w="3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Terminal (mouvement historisé)</w:t>
            </w:r>
          </w:p>
        </w:tc>
      </w:tr>
    </w:tbl>
    <w:p>
      <w:pPr>
        <w:spacing w:after="180" w:before="100"/>
        <w:jc w:val="center"/>
      </w:pPr>
      <w:r>
        <w:rPr>
          <w:i/>
          <w:iCs/>
          <w:color w:val="595959"/>
          <w:sz w:val="18"/>
          <w:szCs w:val="18"/>
        </w:rPr>
        <w:t xml:space="preserve">Tableau 4 — Cycle de vie d'une DAP (source : diagramme d'activité, Annexe A.1)</w:t>
      </w:r>
    </w:p>
    <w:p>
      <w:pPr>
        <w:pStyle w:val="Heading2"/>
      </w:pPr>
      <w:r>
        <w:t xml:space="preserve">6.2   Règles de gestion</w:t>
      </w:r>
    </w:p>
    <w:p>
      <w:pPr>
        <w:spacing w:after="120" w:line="276"/>
        <w:jc w:val="both"/>
      </w:pPr>
      <w:r>
        <w:t xml:space="preserve">Les règles ci-dessous sont déduites directement des spécifications fonctionnelles du chapitre 4 et des diagrammes UML.</w:t>
      </w:r>
    </w:p>
    <w:p>
      <w:pPr>
        <w:pStyle w:val="ListParagraph"/>
        <w:numPr>
          <w:ilvl w:val="0"/>
          <w:numId w:val="3"/>
        </w:numPr>
        <w:spacing w:after="60" w:line="264"/>
        <w:jc w:val="both"/>
      </w:pPr>
      <w:r>
        <w:t xml:space="preserve">RG-01 — Aucune transaction n'est possible sans authentification préalable (RBAC, cas d'utilisation « S'authentifier » en «include» systématique).</w:t>
      </w:r>
    </w:p>
    <w:p>
      <w:pPr>
        <w:pStyle w:val="ListParagraph"/>
        <w:numPr>
          <w:ilvl w:val="0"/>
          <w:numId w:val="3"/>
        </w:numPr>
        <w:spacing w:after="60" w:line="264"/>
        <w:jc w:val="both"/>
      </w:pPr>
      <w:r>
        <w:t xml:space="preserve">RG-02 — La consultation du stock est requise en amont de l'émission d'une DAP (relation «include» de « Créer une DAP » vers « Consulter le stock »).</w:t>
      </w:r>
    </w:p>
    <w:p>
      <w:pPr>
        <w:pStyle w:val="ListParagraph"/>
        <w:numPr>
          <w:ilvl w:val="0"/>
          <w:numId w:val="3"/>
        </w:numPr>
        <w:spacing w:after="60" w:line="264"/>
        <w:jc w:val="both"/>
      </w:pPr>
      <w:r>
        <w:t xml:space="preserve">RG-03 — Une DAP ne peut être créée que si la quantité disponible X &gt; 0 ; si X = 0, l'action est bloquée et une alerte de rupture est envoyée à la Supply Chain (bloc Alt du diagramme de séquence).</w:t>
      </w:r>
    </w:p>
    <w:p>
      <w:pPr>
        <w:pStyle w:val="ListParagraph"/>
        <w:numPr>
          <w:ilvl w:val="0"/>
          <w:numId w:val="3"/>
        </w:numPr>
        <w:spacing w:after="60" w:line="264"/>
        <w:jc w:val="both"/>
      </w:pPr>
      <w:r>
        <w:t xml:space="preserve">RG-04 — Le motif technique est obligatoire à l'émission ; le motif est obligatoire au rejet d'une DAP.</w:t>
      </w:r>
    </w:p>
    <w:p>
      <w:pPr>
        <w:pStyle w:val="ListParagraph"/>
        <w:numPr>
          <w:ilvl w:val="0"/>
          <w:numId w:val="3"/>
        </w:numPr>
        <w:spacing w:after="60" w:line="264"/>
        <w:jc w:val="both"/>
      </w:pPr>
      <w:r>
        <w:t xml:space="preserve">RG-05 — Seules les DAP au statut « validée » apparaissent dans la file du Magasinier.</w:t>
      </w:r>
    </w:p>
    <w:p>
      <w:pPr>
        <w:pStyle w:val="ListParagraph"/>
        <w:numPr>
          <w:ilvl w:val="0"/>
          <w:numId w:val="3"/>
        </w:numPr>
        <w:spacing w:after="60" w:line="264"/>
        <w:jc w:val="both"/>
      </w:pPr>
      <w:r>
        <w:t xml:space="preserve">RG-06 — La décrémentation du stock réel est automatique et n'est déclenchée que par la confirmation de sortie physique par le Magasinier.</w:t>
      </w:r>
    </w:p>
    <w:p>
      <w:pPr>
        <w:pStyle w:val="ListParagraph"/>
        <w:numPr>
          <w:ilvl w:val="0"/>
          <w:numId w:val="3"/>
        </w:numPr>
        <w:spacing w:after="60" w:line="264"/>
        <w:jc w:val="both"/>
      </w:pPr>
      <w:r>
        <w:t xml:space="preserve">RG-07 — Tout mouvement (création, validation, rejet, sortie) est historisé de manière immuable (ID opérateur, date, heure).</w:t>
      </w:r>
    </w:p>
    <w:p>
      <w:pPr>
        <w:pStyle w:val="ListParagraph"/>
        <w:numPr>
          <w:ilvl w:val="0"/>
          <w:numId w:val="3"/>
        </w:numPr>
        <w:spacing w:after="60" w:line="264"/>
        <w:jc w:val="both"/>
      </w:pPr>
      <w:r>
        <w:t xml:space="preserve">RG-08 — Une alerte automatique est déclenchée dès franchissement du seuil de sécurité d'un article (relation «extend» « Alerte en cas de rupture de stock »).</w:t>
      </w:r>
    </w:p>
    <w:p>
      <w:r>
        <w:br w:type="page"/>
      </w:r>
    </w:p>
    <w:p>
      <w:pPr>
        <w:pStyle w:val="Heading1"/>
      </w:pPr>
      <w:r>
        <w:t xml:space="preserve">7.  Modèle de données</w:t>
      </w:r>
    </w:p>
    <w:p>
      <w:pPr>
        <w:spacing w:after="120" w:line="276"/>
        <w:jc w:val="both"/>
      </w:pPr>
      <w:r>
        <w:t xml:space="preserve">Source : diagramme de classes en Annexe B (Figure A.2) du rapport. La structure orchestre les entités métiers suivantes.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Entité</w:t>
            </w:r>
          </w:p>
        </w:tc>
        <w:tc>
          <w:tcPr>
            <w:tcW w:type="dxa" w:w="40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Attributs principaux</w:t>
            </w:r>
          </w:p>
        </w:tc>
        <w:tc>
          <w:tcPr>
            <w:tcW w:type="dxa" w:w="32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Relations</w:t>
            </w:r>
          </w:p>
        </w:tc>
      </w:tr>
      <w:tr>
        <w:tc>
          <w:tcPr>
            <w:tcW w:type="dxa" w:w="2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Utilisateur</w:t>
            </w:r>
          </w:p>
        </w:tc>
        <w:tc>
          <w:tcPr>
            <w:tcW w:type="dxa" w:w="40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attributs de profil (identifiant, rôle, etc.)</w:t>
            </w:r>
          </w:p>
        </w:tc>
        <w:tc>
          <w:tcPr>
            <w:tcW w:type="dxa" w:w="32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Émet, valide ou traite selon son rôle.</w:t>
            </w:r>
          </w:p>
        </w:tc>
      </w:tr>
      <w:tr>
        <w:tc>
          <w:tcPr>
            <w:tcW w:type="dxa" w:w="2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DAP</w:t>
            </w:r>
          </w:p>
        </w:tc>
        <w:tc>
          <w:tcPr>
            <w:tcW w:type="dxa" w:w="40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numéro unique, date, statut</w:t>
            </w:r>
          </w:p>
        </w:tc>
        <w:tc>
          <w:tcPr>
            <w:tcW w:type="dxa" w:w="32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Référence le Demandeur (Utilisateur) et regroupe 1..* LigneDAP.</w:t>
            </w:r>
          </w:p>
        </w:tc>
      </w:tr>
      <w:tr>
        <w:tc>
          <w:tcPr>
            <w:tcW w:type="dxa" w:w="2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LigneDAP</w:t>
            </w:r>
          </w:p>
        </w:tc>
        <w:tc>
          <w:tcPr>
            <w:tcW w:type="dxa" w:w="40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quantité commandée, quantité délivrée</w:t>
            </w:r>
          </w:p>
        </w:tc>
        <w:tc>
          <w:tcPr>
            <w:tcW w:type="dxa" w:w="32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Associe une DAP à un Article.</w:t>
            </w:r>
          </w:p>
        </w:tc>
      </w:tr>
      <w:tr>
        <w:tc>
          <w:tcPr>
            <w:tcW w:type="dxa" w:w="2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Article</w:t>
            </w:r>
          </w:p>
        </w:tc>
        <w:tc>
          <w:tcPr>
            <w:tcW w:type="dxa" w:w="40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référence nomenclature ONCF</w:t>
            </w:r>
          </w:p>
        </w:tc>
        <w:tc>
          <w:tcPr>
            <w:tcW w:type="dxa" w:w="32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Présent dans LigneDAP et stocké dans EmplacementStock.</w:t>
            </w:r>
          </w:p>
        </w:tc>
      </w:tr>
      <w:tr>
        <w:tc>
          <w:tcPr>
            <w:tcW w:type="dxa" w:w="2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EmplacementStock</w:t>
            </w:r>
          </w:p>
        </w:tc>
        <w:tc>
          <w:tcPr>
            <w:tcW w:type="dxa" w:w="40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quantités physiques par alvéole</w:t>
            </w:r>
          </w:p>
        </w:tc>
        <w:tc>
          <w:tcPr>
            <w:tcW w:type="dxa" w:w="32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Localise un Article dans le magasin.</w:t>
            </w:r>
          </w:p>
        </w:tc>
      </w:tr>
      <w:tr>
        <w:tc>
          <w:tcPr>
            <w:tcW w:type="dxa" w:w="2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MouvementStock</w:t>
            </w:r>
          </w:p>
        </w:tc>
        <w:tc>
          <w:tcPr>
            <w:tcW w:type="dxa" w:w="40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enregistrement immuable des flux entrées / sorties</w:t>
            </w:r>
          </w:p>
        </w:tc>
        <w:tc>
          <w:tcPr>
            <w:tcW w:type="dxa" w:w="32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Tracé pour chaque opération.</w:t>
            </w:r>
          </w:p>
        </w:tc>
      </w:tr>
    </w:tbl>
    <w:p>
      <w:pPr>
        <w:spacing w:after="180" w:before="100"/>
        <w:jc w:val="center"/>
      </w:pPr>
      <w:r>
        <w:rPr>
          <w:i/>
          <w:iCs/>
          <w:color w:val="595959"/>
          <w:sz w:val="18"/>
          <w:szCs w:val="18"/>
        </w:rPr>
        <w:t xml:space="preserve">Tableau 5 — Entités du diagramme de classes (source : Annexe B)</w:t>
      </w:r>
    </w:p>
    <w:p>
      <w:pPr>
        <w:spacing w:after="120" w:line="276"/>
        <w:jc w:val="both"/>
      </w:pPr>
      <w:r>
        <w:t xml:space="preserve">L'intégrité référentielle entre ces entités est requise pour assurer le suivi de la supply chain et la cohérence entre stock théorique et stock physique.</w:t>
      </w:r>
    </w:p>
    <w:p>
      <w:r>
        <w:br w:type="page"/>
      </w:r>
    </w:p>
    <w:p>
      <w:pPr>
        <w:pStyle w:val="Heading1"/>
      </w:pPr>
      <w:r>
        <w:t xml:space="preserve">8.  Interfaces utilisateurs (UI/UX)</w:t>
      </w:r>
    </w:p>
    <w:p>
      <w:pPr>
        <w:spacing w:after="120" w:line="276"/>
        <w:jc w:val="both"/>
      </w:pPr>
      <w:r>
        <w:t xml:space="preserve">Cette section spécifie les cinq écrans de la plateforme tels que définis dans les maquettes validées. Tous les libellés, champs, onglets, filtres et colonnes énumérés ci-dessous proviennent directement des maquettes.</w:t>
      </w:r>
    </w:p>
    <w:p>
      <w:pPr>
        <w:pStyle w:val="Heading2"/>
      </w:pPr>
      <w:r>
        <w:t xml:space="preserve">8.1   Charte visuelle et identité</w:t>
      </w:r>
    </w:p>
    <w:p>
      <w:pPr>
        <w:pStyle w:val="ListParagraph"/>
        <w:numPr>
          <w:ilvl w:val="0"/>
          <w:numId w:val="2"/>
        </w:numPr>
        <w:spacing w:after="60" w:line="264"/>
        <w:jc w:val="both"/>
      </w:pPr>
      <w:r>
        <w:t xml:space="preserve">Identité de marque : logo ONCF (carré sombre, lettre « O ») accompagné du titre « ONCF » et du sous-titre « Office National des Chemins de Fer ».</w:t>
      </w:r>
    </w:p>
    <w:p>
      <w:pPr>
        <w:pStyle w:val="ListParagraph"/>
        <w:numPr>
          <w:ilvl w:val="0"/>
          <w:numId w:val="2"/>
        </w:numPr>
        <w:spacing w:after="60" w:line="264"/>
        <w:jc w:val="both"/>
      </w:pPr>
      <w:r>
        <w:t xml:space="preserve">Workspace : la plateforme est désignée par « Gestion DAP » dans les en-têtes applicatifs.</w:t>
      </w:r>
    </w:p>
    <w:p>
      <w:pPr>
        <w:pStyle w:val="ListParagraph"/>
        <w:numPr>
          <w:ilvl w:val="0"/>
          <w:numId w:val="2"/>
        </w:numPr>
        <w:spacing w:after="60" w:line="264"/>
        <w:jc w:val="both"/>
      </w:pPr>
      <w:r>
        <w:t xml:space="preserve">Composants récurrents : barre de navigation supérieure avec bouton « Déconnexion » à droite ; titre de page + sous-titre descriptif ; barre d'onglets de navigation contextuelle ; cartes (cards) pour les KPI ; tables pour les listes de demandes ; filtres dropdown au-dessus des tables ; badges colorés pour les statuts ; icônes d'action en fin de ligne.</w:t>
      </w:r>
    </w:p>
    <w:p>
      <w:pPr>
        <w:pStyle w:val="ListParagraph"/>
        <w:numPr>
          <w:ilvl w:val="0"/>
          <w:numId w:val="2"/>
        </w:numPr>
        <w:spacing w:after="60" w:line="264"/>
        <w:jc w:val="both"/>
      </w:pPr>
      <w:r>
        <w:t xml:space="preserve">Codification chromatique des statuts (déduite des maquettes) : En attente — jaune/orange ; Validée / À traiter — vert ou bleu ; Rejetée — rouge.</w:t>
      </w:r>
    </w:p>
    <w:p>
      <w:pPr>
        <w:pStyle w:val="Heading2"/>
      </w:pPr>
      <w:r>
        <w:t xml:space="preserve">8.2   Écran de connexion</w:t>
      </w:r>
    </w:p>
    <w:p>
      <w:pPr>
        <w:spacing w:after="120" w:line="276"/>
        <w:jc w:val="both"/>
      </w:pPr>
      <w:r>
        <w:t xml:space="preserve">Écran d'authentification centralisé, layout centré.</w:t>
      </w:r>
    </w:p>
    <w:p>
      <w:pPr>
        <w:pStyle w:val="ListParagraph"/>
        <w:numPr>
          <w:ilvl w:val="0"/>
          <w:numId w:val="2"/>
        </w:numPr>
        <w:spacing w:after="60" w:line="264"/>
        <w:jc w:val="both"/>
      </w:pPr>
      <w:r>
        <w:t xml:space="preserve">En-tête : logo ONCF + « ONCF » + sous-titre « Office National des Chemins de Fer ».</w:t>
      </w:r>
    </w:p>
    <w:p>
      <w:pPr>
        <w:pStyle w:val="ListParagraph"/>
        <w:numPr>
          <w:ilvl w:val="0"/>
          <w:numId w:val="2"/>
        </w:numPr>
        <w:spacing w:after="60" w:line="264"/>
        <w:jc w:val="both"/>
      </w:pPr>
      <w:r>
        <w:t xml:space="preserve">Carte « Connexion » avec sous-titre « Accédez à votre espace de gestion DAP ».</w:t>
      </w:r>
    </w:p>
    <w:p>
      <w:pPr>
        <w:pStyle w:val="ListParagraph"/>
        <w:numPr>
          <w:ilvl w:val="0"/>
          <w:numId w:val="2"/>
        </w:numPr>
        <w:spacing w:after="60" w:line="264"/>
        <w:jc w:val="both"/>
      </w:pPr>
      <w:r>
        <w:t xml:space="preserve">Champ « Adresse email » (obligatoire) — placeholder « votre.email@oncf.ma ».</w:t>
      </w:r>
    </w:p>
    <w:p>
      <w:pPr>
        <w:pStyle w:val="ListParagraph"/>
        <w:numPr>
          <w:ilvl w:val="0"/>
          <w:numId w:val="2"/>
        </w:numPr>
        <w:spacing w:after="60" w:line="264"/>
        <w:jc w:val="both"/>
      </w:pPr>
      <w:r>
        <w:t xml:space="preserve">Champ « Mot de passe » (obligatoire, masqué).</w:t>
      </w:r>
    </w:p>
    <w:p>
      <w:pPr>
        <w:pStyle w:val="ListParagraph"/>
        <w:numPr>
          <w:ilvl w:val="0"/>
          <w:numId w:val="2"/>
        </w:numPr>
        <w:spacing w:after="60" w:line="264"/>
        <w:jc w:val="both"/>
      </w:pPr>
      <w:r>
        <w:t xml:space="preserve">Case à cocher « Se souvenir de moi ».</w:t>
      </w:r>
    </w:p>
    <w:p>
      <w:pPr>
        <w:pStyle w:val="ListParagraph"/>
        <w:numPr>
          <w:ilvl w:val="0"/>
          <w:numId w:val="2"/>
        </w:numPr>
        <w:spacing w:after="60" w:line="264"/>
        <w:jc w:val="both"/>
      </w:pPr>
      <w:r>
        <w:t xml:space="preserve">Lien « Mot de passe oublié ? » aligné à droite.</w:t>
      </w:r>
    </w:p>
    <w:p>
      <w:pPr>
        <w:pStyle w:val="ListParagraph"/>
        <w:numPr>
          <w:ilvl w:val="0"/>
          <w:numId w:val="2"/>
        </w:numPr>
        <w:spacing w:after="60" w:line="264"/>
        <w:jc w:val="both"/>
      </w:pPr>
      <w:r>
        <w:t xml:space="preserve">Bouton primaire « Se connecter » (couleur sombre, pleine largeur du formulaire).</w:t>
      </w:r>
    </w:p>
    <w:p>
      <w:pPr>
        <w:spacing w:after="180" w:before="100"/>
        <w:jc w:val="center"/>
      </w:pPr>
      <w:r>
        <w:rPr>
          <w:i/>
          <w:iCs/>
          <w:color w:val="595959"/>
          <w:sz w:val="18"/>
          <w:szCs w:val="18"/>
        </w:rPr>
        <w:t xml:space="preserve">Référence : maquette de l'écran de connexion (Figure 4.7 du rapport)</w:t>
      </w:r>
    </w:p>
    <w:p>
      <w:pPr>
        <w:pStyle w:val="Heading2"/>
      </w:pPr>
      <w:r>
        <w:t xml:space="preserve">8.3   Dashboard Chef d'Unité (demandeur)</w:t>
      </w:r>
    </w:p>
    <w:p>
      <w:pPr>
        <w:pStyle w:val="ListParagraph"/>
        <w:numPr>
          <w:ilvl w:val="0"/>
          <w:numId w:val="2"/>
        </w:numPr>
        <w:spacing w:after="60" w:line="264"/>
        <w:jc w:val="both"/>
      </w:pPr>
      <w:r>
        <w:t xml:space="preserve">En-tête applicatif : logo ONCF + « ONCF — Chef d'Unité » + sous-titre « Gestion DAP » ; bouton « Déconnexion » à droite.</w:t>
      </w:r>
    </w:p>
    <w:p>
      <w:pPr>
        <w:pStyle w:val="ListParagraph"/>
        <w:numPr>
          <w:ilvl w:val="0"/>
          <w:numId w:val="2"/>
        </w:numPr>
        <w:spacing w:after="60" w:line="264"/>
        <w:jc w:val="both"/>
      </w:pPr>
      <w:r>
        <w:t xml:space="preserve">Titre de page : « Tableau de Bord Chef d'Unité » + sous-titre « Gestion du stock et des demandes d'approvisionnement ».</w:t>
      </w:r>
    </w:p>
    <w:p>
      <w:pPr>
        <w:spacing w:after="120" w:line="276"/>
        <w:jc w:val="both"/>
      </w:pPr>
      <w:r>
        <w:rPr>
          <w:b w:val="false"/>
          <w:bCs w:val="false"/>
        </w:rPr>
        <w:t xml:space="preserve">Trois onglets de navigation : </w:t>
      </w:r>
      <w:r>
        <w:rPr>
          <w:i/>
          <w:iCs/>
        </w:rPr>
        <w:t xml:space="preserve">Consultation Stock</w:t>
      </w:r>
      <w:r>
        <w:t xml:space="preserve"> (actif par défaut) | </w:t>
      </w:r>
      <w:r>
        <w:rPr>
          <w:i/>
          <w:iCs/>
        </w:rPr>
        <w:t xml:space="preserve">Liste DAP</w:t>
      </w:r>
      <w:r>
        <w:t xml:space="preserve"> | </w:t>
      </w:r>
      <w:r>
        <w:rPr>
          <w:i/>
          <w:iCs/>
        </w:rPr>
        <w:t xml:space="preserve">+ Demander Organe</w:t>
      </w:r>
      <w:r>
        <w:t xml:space="preserve">.</w:t>
      </w:r>
    </w:p>
    <w:p>
      <w:pPr>
        <w:pStyle w:val="Heading3"/>
      </w:pPr>
      <w:r>
        <w:t xml:space="preserve">Onglet « Consultation Stock »</w:t>
      </w:r>
    </w:p>
    <w:p>
      <w:pPr>
        <w:pStyle w:val="ListParagraph"/>
        <w:numPr>
          <w:ilvl w:val="0"/>
          <w:numId w:val="2"/>
        </w:numPr>
        <w:spacing w:after="60" w:line="264"/>
        <w:jc w:val="both"/>
      </w:pPr>
      <w:r>
        <w:t xml:space="preserve">Carte « Consultation du Stock » + sous-titre « Recherchez les articles par nomenclature et atelier ».</w:t>
      </w:r>
    </w:p>
    <w:p>
      <w:pPr>
        <w:pStyle w:val="ListParagraph"/>
        <w:numPr>
          <w:ilvl w:val="0"/>
          <w:numId w:val="2"/>
        </w:numPr>
        <w:spacing w:after="60" w:line="264"/>
        <w:jc w:val="both"/>
      </w:pPr>
      <w:r>
        <w:t xml:space="preserve">Champ « Nomenclature * » (obligatoire) — placeholder « Ex : MTR-001-A ».</w:t>
      </w:r>
    </w:p>
    <w:p>
      <w:pPr>
        <w:pStyle w:val="ListParagraph"/>
        <w:numPr>
          <w:ilvl w:val="0"/>
          <w:numId w:val="2"/>
        </w:numPr>
        <w:spacing w:after="60" w:line="264"/>
        <w:jc w:val="both"/>
      </w:pPr>
      <w:r>
        <w:t xml:space="preserve">Champ « Atelier * » (obligatoire) — dropdown « Sélectionner un atelier ».</w:t>
      </w:r>
    </w:p>
    <w:p>
      <w:pPr>
        <w:pStyle w:val="ListParagraph"/>
        <w:numPr>
          <w:ilvl w:val="0"/>
          <w:numId w:val="2"/>
        </w:numPr>
        <w:spacing w:after="60" w:line="264"/>
        <w:jc w:val="both"/>
      </w:pPr>
      <w:r>
        <w:t xml:space="preserve">Bouton « Rechercher ».</w:t>
      </w:r>
    </w:p>
    <w:p>
      <w:pPr>
        <w:pStyle w:val="Heading3"/>
      </w:pPr>
      <w:r>
        <w:t xml:space="preserve">Onglet « Liste DAP »</w:t>
      </w:r>
    </w:p>
    <w:p>
      <w:pPr>
        <w:spacing w:after="120" w:line="276"/>
        <w:jc w:val="both"/>
      </w:pPr>
      <w:r>
        <w:t xml:space="preserve">Affiche la liste des DAP émises par le Chef d'Unité avec leur statut (vue de suivi conforme au cas d'utilisation « Suivre l'état de DAP »).</w:t>
      </w:r>
    </w:p>
    <w:p>
      <w:pPr>
        <w:pStyle w:val="Heading3"/>
      </w:pPr>
      <w:r>
        <w:t xml:space="preserve">Onglet « + Demander Organe »</w:t>
      </w:r>
    </w:p>
    <w:p>
      <w:pPr>
        <w:spacing w:after="120" w:line="276"/>
        <w:jc w:val="both"/>
      </w:pPr>
      <w:r>
        <w:t xml:space="preserve">Accès direct au formulaire d'émission d'une nouvelle DAP (cas d'utilisation « Créer une DAP »).</w:t>
      </w:r>
    </w:p>
    <w:p>
      <w:pPr>
        <w:spacing w:after="180" w:before="100"/>
        <w:jc w:val="center"/>
      </w:pPr>
      <w:r>
        <w:rPr>
          <w:i/>
          <w:iCs/>
          <w:color w:val="595959"/>
          <w:sz w:val="18"/>
          <w:szCs w:val="18"/>
        </w:rPr>
        <w:t xml:space="preserve">Référence : maquette du dashboard Chef d'Unité (Figure 4.8 du rapport)</w:t>
      </w:r>
    </w:p>
    <w:p>
      <w:pPr>
        <w:pStyle w:val="Heading2"/>
      </w:pPr>
      <w:r>
        <w:t xml:space="preserve">8.4   Dashboard Coordinateur (validateur)</w:t>
      </w:r>
    </w:p>
    <w:p>
      <w:pPr>
        <w:pStyle w:val="ListParagraph"/>
        <w:numPr>
          <w:ilvl w:val="0"/>
          <w:numId w:val="2"/>
        </w:numPr>
        <w:spacing w:after="60" w:line="264"/>
        <w:jc w:val="both"/>
      </w:pPr>
      <w:r>
        <w:t xml:space="preserve">Titre de page : « Tableau de Bord Coordinateur » + sous-titre « Validation des demandes et historique des DAP ».</w:t>
      </w:r>
    </w:p>
    <w:p>
      <w:pPr>
        <w:spacing w:after="120" w:line="276"/>
        <w:jc w:val="both"/>
      </w:pPr>
      <w:r>
        <w:t xml:space="preserve">Deux onglets de navigation : </w:t>
      </w:r>
      <w:r>
        <w:rPr>
          <w:i/>
          <w:iCs/>
        </w:rPr>
        <w:t xml:space="preserve">Validation DAP</w:t>
      </w:r>
      <w:r>
        <w:t xml:space="preserve"> (actif par défaut) | </w:t>
      </w:r>
      <w:r>
        <w:rPr>
          <w:i/>
          <w:iCs/>
        </w:rPr>
        <w:t xml:space="preserve">Historique DAP</w:t>
      </w:r>
      <w:r>
        <w:t xml:space="preserve">.</w:t>
      </w:r>
    </w:p>
    <w:p>
      <w:pPr>
        <w:pStyle w:val="Heading3"/>
      </w:pPr>
      <w:r>
        <w:t xml:space="preserve">Onglet « Validation DAP »</w:t>
      </w:r>
    </w:p>
    <w:p>
      <w:pPr>
        <w:pStyle w:val="ListParagraph"/>
        <w:numPr>
          <w:ilvl w:val="0"/>
          <w:numId w:val="2"/>
        </w:numPr>
        <w:spacing w:after="60" w:line="264"/>
        <w:jc w:val="both"/>
      </w:pPr>
      <w:r>
        <w:t xml:space="preserve">Section « Validation des Demandes d'Approvisionnement » + sous-titre « Validez ou rejetez les demandes en attente ».</w:t>
      </w:r>
    </w:p>
    <w:p>
      <w:pPr>
        <w:pStyle w:val="ListParagraph"/>
        <w:numPr>
          <w:ilvl w:val="0"/>
          <w:numId w:val="2"/>
        </w:numPr>
        <w:spacing w:after="60" w:line="264"/>
        <w:jc w:val="both"/>
      </w:pPr>
      <w:r>
        <w:t xml:space="preserve">Filtre « Filtrer par atelier » (dropdown, valeur par défaut : « Tous les ateliers »).</w:t>
      </w:r>
    </w:p>
    <w:p>
      <w:pPr>
        <w:pStyle w:val="ListParagraph"/>
        <w:numPr>
          <w:ilvl w:val="0"/>
          <w:numId w:val="2"/>
        </w:numPr>
        <w:spacing w:after="60" w:line="264"/>
        <w:jc w:val="both"/>
      </w:pPr>
      <w:r>
        <w:t xml:space="preserve">Filtre « Filtrer par statut » (dropdown, valeur par défaut : « Tous les statuts »).</w:t>
      </w:r>
    </w:p>
    <w:p>
      <w:pPr>
        <w:pStyle w:val="ListParagraph"/>
        <w:numPr>
          <w:ilvl w:val="0"/>
          <w:numId w:val="2"/>
        </w:numPr>
        <w:spacing w:after="60" w:line="264"/>
        <w:jc w:val="both"/>
      </w:pPr>
      <w:r>
        <w:t xml:space="preserve">Compteur dynamique : « X demande(s) trouvée(s) ».</w:t>
      </w:r>
    </w:p>
    <w:p>
      <w:pPr>
        <w:pStyle w:val="ListParagraph"/>
        <w:numPr>
          <w:ilvl w:val="0"/>
          <w:numId w:val="2"/>
        </w:numPr>
        <w:spacing w:after="60" w:line="264"/>
        <w:jc w:val="both"/>
      </w:pPr>
      <w:r>
        <w:t xml:space="preserve">Table des DAP avec colonnes : N° DAP | Atelier | Demandeur | Date | Statut (badge coloré) | Articles (nombre) | Description | Actions.</w:t>
      </w:r>
    </w:p>
    <w:p>
      <w:pPr>
        <w:pStyle w:val="ListParagraph"/>
        <w:numPr>
          <w:ilvl w:val="0"/>
          <w:numId w:val="2"/>
        </w:numPr>
        <w:spacing w:after="60" w:line="264"/>
        <w:jc w:val="both"/>
      </w:pPr>
      <w:r>
        <w:t xml:space="preserve">Actions disponibles par ligne (icônes) : œil (visualiser le détail), coche verte (valider), croix rouge (rejeter).</w:t>
      </w:r>
    </w:p>
    <w:p>
      <w:pPr>
        <w:spacing w:after="120" w:line="276"/>
        <w:jc w:val="both"/>
      </w:pPr>
      <w:r>
        <w:t xml:space="preserve">Exemples de lignes (référencés sur la maquette)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80"/>
        <w:gridCol w:w="900"/>
        <w:gridCol w:w="1500"/>
        <w:gridCol w:w="1100"/>
        <w:gridCol w:w="1180"/>
        <w:gridCol w:w="800"/>
        <w:gridCol w:w="2500"/>
      </w:tblGrid>
      <w:tr>
        <w:trPr>
          <w:tblHeader/>
        </w:trPr>
        <w:tc>
          <w:tcPr>
            <w:tcW w:type="dxa" w:w="138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N° DAP</w:t>
            </w:r>
          </w:p>
        </w:tc>
        <w:tc>
          <w:tcPr>
            <w:tcW w:type="dxa" w:w="9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Atelier</w:t>
            </w:r>
          </w:p>
        </w:tc>
        <w:tc>
          <w:tcPr>
            <w:tcW w:type="dxa" w:w="15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Demandeur</w:t>
            </w:r>
          </w:p>
        </w:tc>
        <w:tc>
          <w:tcPr>
            <w:tcW w:type="dxa" w:w="11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Date</w:t>
            </w:r>
          </w:p>
        </w:tc>
        <w:tc>
          <w:tcPr>
            <w:tcW w:type="dxa" w:w="118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Statut</w:t>
            </w:r>
          </w:p>
        </w:tc>
        <w:tc>
          <w:tcPr>
            <w:tcW w:type="dxa" w:w="8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Articles</w:t>
            </w:r>
          </w:p>
        </w:tc>
        <w:tc>
          <w:tcPr>
            <w:tcW w:type="dxa" w:w="25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Description</w:t>
            </w:r>
          </w:p>
        </w:tc>
      </w:tr>
      <w:tr>
        <w:tc>
          <w:tcPr>
            <w:tcW w:type="dxa" w:w="138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DAP-2026-001</w:t>
            </w:r>
          </w:p>
        </w:tc>
        <w:tc>
          <w:tcPr>
            <w:tcW w:type="dxa" w:w="9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PRM</w:t>
            </w:r>
          </w:p>
        </w:tc>
        <w:tc>
          <w:tcPr>
            <w:tcW w:type="dxa" w:w="15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Ahmed Benali</w:t>
            </w:r>
          </w:p>
        </w:tc>
        <w:tc>
          <w:tcPr>
            <w:tcW w:type="dxa" w:w="11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15/01/2026</w:t>
            </w:r>
          </w:p>
        </w:tc>
        <w:tc>
          <w:tcPr>
            <w:tcW w:type="dxa" w:w="118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En attente</w:t>
            </w:r>
          </w:p>
        </w:tc>
        <w:tc>
          <w:tcPr>
            <w:tcW w:type="dxa" w:w="8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3</w:t>
            </w:r>
          </w:p>
        </w:tc>
        <w:tc>
          <w:tcPr>
            <w:tcW w:type="dxa" w:w="25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Pièces de rechange locomotive — Maintenance préventive programmée</w:t>
            </w:r>
          </w:p>
        </w:tc>
      </w:tr>
      <w:tr>
        <w:tc>
          <w:tcPr>
            <w:tcW w:type="dxa" w:w="138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DAP-2026-004</w:t>
            </w:r>
          </w:p>
        </w:tc>
        <w:tc>
          <w:tcPr>
            <w:tcW w:type="dxa" w:w="9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FRIEN</w:t>
            </w:r>
          </w:p>
        </w:tc>
        <w:tc>
          <w:tcPr>
            <w:tcW w:type="dxa" w:w="15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Youssef Alami</w:t>
            </w:r>
          </w:p>
        </w:tc>
        <w:tc>
          <w:tcPr>
            <w:tcW w:type="dxa" w:w="11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12/01/2026</w:t>
            </w:r>
          </w:p>
        </w:tc>
        <w:tc>
          <w:tcPr>
            <w:tcW w:type="dxa" w:w="118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En attente</w:t>
            </w:r>
          </w:p>
        </w:tc>
        <w:tc>
          <w:tcPr>
            <w:tcW w:type="dxa" w:w="8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7</w:t>
            </w:r>
          </w:p>
        </w:tc>
        <w:tc>
          <w:tcPr>
            <w:tcW w:type="dxa" w:w="25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Composants système de freinage — Panne critique sur équipement principal</w:t>
            </w:r>
          </w:p>
        </w:tc>
      </w:tr>
    </w:tbl>
    <w:p>
      <w:pPr>
        <w:spacing w:after="180" w:before="100"/>
        <w:jc w:val="center"/>
      </w:pPr>
      <w:r>
        <w:rPr>
          <w:i/>
          <w:iCs/>
          <w:color w:val="595959"/>
          <w:sz w:val="18"/>
          <w:szCs w:val="18"/>
        </w:rPr>
        <w:t xml:space="preserve">Exemples de données affichées sur le dashboard Coordinateur (Figure 4.9 du rapport)</w:t>
      </w:r>
    </w:p>
    <w:p>
      <w:pPr>
        <w:pStyle w:val="Heading3"/>
      </w:pPr>
      <w:r>
        <w:t xml:space="preserve">Onglet « Historique DAP »</w:t>
      </w:r>
    </w:p>
    <w:p>
      <w:pPr>
        <w:spacing w:after="120" w:line="276"/>
        <w:jc w:val="both"/>
      </w:pPr>
      <w:r>
        <w:t xml:space="preserve">Affiche l'historique des décisions du Coordinateur (cas d'utilisation « Voir l'historique des demandes »).</w:t>
      </w:r>
    </w:p>
    <w:p>
      <w:pPr>
        <w:pStyle w:val="Heading2"/>
      </w:pPr>
      <w:r>
        <w:t xml:space="preserve">8.5   Dashboard Magasinier (exécutant)</w:t>
      </w:r>
    </w:p>
    <w:p>
      <w:pPr>
        <w:pStyle w:val="ListParagraph"/>
        <w:numPr>
          <w:ilvl w:val="0"/>
          <w:numId w:val="2"/>
        </w:numPr>
        <w:spacing w:after="60" w:line="264"/>
        <w:jc w:val="both"/>
      </w:pPr>
      <w:r>
        <w:t xml:space="preserve">En-tête applicatif : logo ONCF + « ONCF — Magasinier » + sous-titre « Gestion Magasin » ; bouton « Déconnexion » à droite.</w:t>
      </w:r>
    </w:p>
    <w:p>
      <w:pPr>
        <w:pStyle w:val="ListParagraph"/>
        <w:numPr>
          <w:ilvl w:val="0"/>
          <w:numId w:val="2"/>
        </w:numPr>
        <w:spacing w:after="60" w:line="264"/>
        <w:jc w:val="both"/>
      </w:pPr>
      <w:r>
        <w:t xml:space="preserve">Titre de page : « Tableau de Bord Magasinier » + sous-titre « Gestion des DAP validées, mouvements de stock et inventaire ».</w:t>
      </w:r>
    </w:p>
    <w:p>
      <w:pPr>
        <w:spacing w:after="120" w:line="276"/>
        <w:jc w:val="both"/>
      </w:pPr>
      <w:r>
        <w:t xml:space="preserve">Trois onglets de navigation : </w:t>
      </w:r>
      <w:r>
        <w:rPr>
          <w:i/>
          <w:iCs/>
        </w:rPr>
        <w:t xml:space="preserve">DAP Validées</w:t>
      </w:r>
      <w:r>
        <w:t xml:space="preserve"> (actif par défaut) | </w:t>
      </w:r>
      <w:r>
        <w:rPr>
          <w:i/>
          <w:iCs/>
        </w:rPr>
        <w:t xml:space="preserve">Mouvements</w:t>
      </w:r>
      <w:r>
        <w:t xml:space="preserve"> | </w:t>
      </w:r>
      <w:r>
        <w:rPr>
          <w:i/>
          <w:iCs/>
        </w:rPr>
        <w:t xml:space="preserve">Inventaire</w:t>
      </w:r>
      <w:r>
        <w:t xml:space="preserve">.</w:t>
      </w:r>
    </w:p>
    <w:p>
      <w:pPr>
        <w:pStyle w:val="Heading3"/>
      </w:pPr>
      <w:r>
        <w:t xml:space="preserve">Onglet « DAP Validées »</w:t>
      </w:r>
    </w:p>
    <w:p>
      <w:pPr>
        <w:pStyle w:val="ListParagraph"/>
        <w:numPr>
          <w:ilvl w:val="0"/>
          <w:numId w:val="2"/>
        </w:numPr>
        <w:spacing w:after="60" w:line="264"/>
        <w:jc w:val="both"/>
      </w:pPr>
      <w:r>
        <w:t xml:space="preserve">Section « DAP Validées » + sous-titre « Demandes d'approvisionnement validées par le coordinateur ».</w:t>
      </w:r>
    </w:p>
    <w:p>
      <w:pPr>
        <w:pStyle w:val="ListParagraph"/>
        <w:numPr>
          <w:ilvl w:val="0"/>
          <w:numId w:val="2"/>
        </w:numPr>
        <w:spacing w:after="60" w:line="264"/>
        <w:jc w:val="both"/>
      </w:pPr>
      <w:r>
        <w:t xml:space="preserve">Filtre « Atelier » (dropdown, valeur par défaut : « Tous les ateliers »).</w:t>
      </w:r>
    </w:p>
    <w:p>
      <w:pPr>
        <w:pStyle w:val="ListParagraph"/>
        <w:numPr>
          <w:ilvl w:val="0"/>
          <w:numId w:val="2"/>
        </w:numPr>
        <w:spacing w:after="60" w:line="264"/>
        <w:jc w:val="both"/>
      </w:pPr>
      <w:r>
        <w:t xml:space="preserve">Champ « Recherche » (textuel) — placeholder « N° DAP, demandeur… ».</w:t>
      </w:r>
    </w:p>
    <w:p>
      <w:pPr>
        <w:pStyle w:val="ListParagraph"/>
        <w:numPr>
          <w:ilvl w:val="0"/>
          <w:numId w:val="2"/>
        </w:numPr>
        <w:spacing w:after="60" w:line="264"/>
        <w:jc w:val="both"/>
      </w:pPr>
      <w:r>
        <w:t xml:space="preserve">Compteur dynamique : « X DAP validée(s) trouvée(s) ».</w:t>
      </w:r>
    </w:p>
    <w:p>
      <w:pPr>
        <w:pStyle w:val="ListParagraph"/>
        <w:numPr>
          <w:ilvl w:val="0"/>
          <w:numId w:val="2"/>
        </w:numPr>
        <w:spacing w:after="60" w:line="264"/>
        <w:jc w:val="both"/>
      </w:pPr>
      <w:r>
        <w:t xml:space="preserve">Table avec colonnes : N° DAP | Atelier | Demandeur | Date Validation | Articles | Statut (badge « À traiter ») | Actions (bouton « Traiter »).</w:t>
      </w:r>
    </w:p>
    <w:p>
      <w:pPr>
        <w:spacing w:after="120" w:line="276"/>
        <w:jc w:val="both"/>
      </w:pPr>
      <w:r>
        <w:t xml:space="preserve">Exemple de ligne (référencé sur la maquette)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700"/>
        <w:gridCol w:w="1500"/>
        <w:gridCol w:w="900"/>
        <w:gridCol w:w="1200"/>
        <w:gridCol w:w="1560"/>
      </w:tblGrid>
      <w:tr>
        <w:trPr>
          <w:tblHeader/>
        </w:trPr>
        <w:tc>
          <w:tcPr>
            <w:tcW w:type="dxa" w:w="15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N° DAP</w:t>
            </w:r>
          </w:p>
        </w:tc>
        <w:tc>
          <w:tcPr>
            <w:tcW w:type="dxa" w:w="10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Atelier</w:t>
            </w:r>
          </w:p>
        </w:tc>
        <w:tc>
          <w:tcPr>
            <w:tcW w:type="dxa" w:w="17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Demandeur</w:t>
            </w:r>
          </w:p>
        </w:tc>
        <w:tc>
          <w:tcPr>
            <w:tcW w:type="dxa" w:w="15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Date Validation</w:t>
            </w:r>
          </w:p>
        </w:tc>
        <w:tc>
          <w:tcPr>
            <w:tcW w:type="dxa" w:w="9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Articles</w:t>
            </w:r>
          </w:p>
        </w:tc>
        <w:tc>
          <w:tcPr>
            <w:tcW w:type="dxa" w:w="12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Statut</w:t>
            </w:r>
          </w:p>
        </w:tc>
        <w:tc>
          <w:tcPr>
            <w:tcW w:type="dxa" w:w="15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Action</w:t>
            </w:r>
          </w:p>
        </w:tc>
      </w:tr>
      <w:tr>
        <w:tc>
          <w:tcPr>
            <w:tcW w:type="dxa" w:w="15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DAP-2026-001</w:t>
            </w:r>
          </w:p>
        </w:tc>
        <w:tc>
          <w:tcPr>
            <w:tcW w:type="dxa" w:w="1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PRM</w:t>
            </w:r>
          </w:p>
        </w:tc>
        <w:tc>
          <w:tcPr>
            <w:tcW w:type="dxa" w:w="17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Ahmed Benali</w:t>
            </w:r>
          </w:p>
        </w:tc>
        <w:tc>
          <w:tcPr>
            <w:tcW w:type="dxa" w:w="15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20/01/2026</w:t>
            </w:r>
          </w:p>
        </w:tc>
        <w:tc>
          <w:tcPr>
            <w:tcW w:type="dxa" w:w="9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5</w:t>
            </w:r>
          </w:p>
        </w:tc>
        <w:tc>
          <w:tcPr>
            <w:tcW w:type="dxa" w:w="12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À traiter</w:t>
            </w:r>
          </w:p>
        </w:tc>
        <w:tc>
          <w:tcPr>
            <w:tcW w:type="dxa" w:w="15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Traiter</w:t>
            </w:r>
          </w:p>
        </w:tc>
      </w:tr>
    </w:tbl>
    <w:p>
      <w:pPr>
        <w:spacing w:after="180" w:before="100"/>
        <w:jc w:val="center"/>
      </w:pPr>
      <w:r>
        <w:rPr>
          <w:i/>
          <w:iCs/>
          <w:color w:val="595959"/>
          <w:sz w:val="18"/>
          <w:szCs w:val="18"/>
        </w:rPr>
        <w:t xml:space="preserve">Exemple de ligne affichée sur le dashboard Magasinier (Figure 4.10 du rapport)</w:t>
      </w:r>
    </w:p>
    <w:p>
      <w:pPr>
        <w:pStyle w:val="Heading3"/>
      </w:pPr>
      <w:r>
        <w:t xml:space="preserve">Onglet « Mouvements »</w:t>
      </w:r>
    </w:p>
    <w:p>
      <w:pPr>
        <w:spacing w:after="120" w:line="276"/>
        <w:jc w:val="both"/>
      </w:pPr>
      <w:r>
        <w:t xml:space="preserve">Liste des mouvements de stock historisés (cas d'utilisation « Consulter les mouvements »).</w:t>
      </w:r>
    </w:p>
    <w:p>
      <w:pPr>
        <w:pStyle w:val="Heading3"/>
      </w:pPr>
      <w:r>
        <w:t xml:space="preserve">Onglet « Inventaire »</w:t>
      </w:r>
    </w:p>
    <w:p>
      <w:pPr>
        <w:spacing w:after="120" w:line="276"/>
        <w:jc w:val="both"/>
      </w:pPr>
      <w:r>
        <w:t xml:space="preserve">Vue des inventaires périodiques (responsabilité « réaliser les inventaires périodiques » du Magasinier, Tableau 4.1).</w:t>
      </w:r>
    </w:p>
    <w:p>
      <w:pPr>
        <w:pStyle w:val="Heading2"/>
      </w:pPr>
      <w:r>
        <w:t xml:space="preserve">8.6   Dashboard Supply Chain (superviseur)</w:t>
      </w:r>
    </w:p>
    <w:p>
      <w:pPr>
        <w:pStyle w:val="ListParagraph"/>
        <w:numPr>
          <w:ilvl w:val="0"/>
          <w:numId w:val="2"/>
        </w:numPr>
        <w:spacing w:after="60" w:line="264"/>
        <w:jc w:val="both"/>
      </w:pPr>
      <w:r>
        <w:t xml:space="preserve">Titre de page : « Tableau de Bord Supply Chain » + sous-titre « Gestion des demandes d'approvisionnement et analyse statistique ».</w:t>
      </w:r>
    </w:p>
    <w:p>
      <w:pPr>
        <w:spacing w:after="120" w:line="276"/>
        <w:jc w:val="both"/>
      </w:pPr>
      <w:r>
        <w:t xml:space="preserve">Trois onglets de navigation : </w:t>
      </w:r>
      <w:r>
        <w:rPr>
          <w:i/>
          <w:iCs/>
        </w:rPr>
        <w:t xml:space="preserve">Liste DAP</w:t>
      </w:r>
      <w:r>
        <w:t xml:space="preserve"> | </w:t>
      </w:r>
      <w:r>
        <w:rPr>
          <w:i/>
          <w:iCs/>
        </w:rPr>
        <w:t xml:space="preserve">Historique DAP</w:t>
      </w:r>
      <w:r>
        <w:t xml:space="preserve"> | </w:t>
      </w:r>
      <w:r>
        <w:rPr>
          <w:i/>
          <w:iCs/>
        </w:rPr>
        <w:t xml:space="preserve">Tableau de Bord</w:t>
      </w:r>
      <w:r>
        <w:t xml:space="preserve"> (actif par défaut).</w:t>
      </w:r>
    </w:p>
    <w:p>
      <w:pPr>
        <w:pStyle w:val="Heading3"/>
      </w:pPr>
      <w:r>
        <w:t xml:space="preserve">Bandeau de KPI (4 cards)</w:t>
      </w:r>
    </w:p>
    <w:p>
      <w:pPr>
        <w:spacing w:after="120" w:line="276"/>
        <w:jc w:val="both"/>
      </w:pPr>
      <w:r>
        <w:t xml:space="preserve">Quatre cartes d'indicateurs en haut du tableau de bord, mises à jour en temps réel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Card KPI</w:t>
            </w:r>
          </w:p>
        </w:tc>
        <w:tc>
          <w:tcPr>
            <w:tcW w:type="dxa" w:w="49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Contenu</w:t>
            </w:r>
          </w:p>
        </w:tc>
        <w:tc>
          <w:tcPr>
            <w:tcW w:type="dxa" w:w="20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Code couleur</w:t>
            </w:r>
          </w:p>
        </w:tc>
      </w:tr>
      <w:tr>
        <w:tc>
          <w:tcPr>
            <w:tcW w:type="dxa" w:w="2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Total DAP</w:t>
            </w:r>
          </w:p>
        </w:tc>
        <w:tc>
          <w:tcPr>
            <w:tcW w:type="dxa" w:w="49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Compteur global (exemple maquette : 156)</w:t>
            </w:r>
          </w:p>
        </w:tc>
        <w:tc>
          <w:tcPr>
            <w:tcW w:type="dxa" w:w="2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Indicateur neutre</w:t>
            </w:r>
          </w:p>
        </w:tc>
      </w:tr>
      <w:tr>
        <w:tc>
          <w:tcPr>
            <w:tcW w:type="dxa" w:w="2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Validées</w:t>
            </w:r>
          </w:p>
        </w:tc>
        <w:tc>
          <w:tcPr>
            <w:tcW w:type="dxa" w:w="49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Compteur + pourcentage (exemple : 98 — 62,8 %)</w:t>
            </w:r>
          </w:p>
        </w:tc>
        <w:tc>
          <w:tcPr>
            <w:tcW w:type="dxa" w:w="2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Vert</w:t>
            </w:r>
          </w:p>
        </w:tc>
      </w:tr>
      <w:tr>
        <w:tc>
          <w:tcPr>
            <w:tcW w:type="dxa" w:w="2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En Attente</w:t>
            </w:r>
          </w:p>
        </w:tc>
        <w:tc>
          <w:tcPr>
            <w:tcW w:type="dxa" w:w="49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Compteur + pourcentage (exemple : 23 — 14,8 %)</w:t>
            </w:r>
          </w:p>
        </w:tc>
        <w:tc>
          <w:tcPr>
            <w:tcW w:type="dxa" w:w="20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Jaune / orange</w:t>
            </w:r>
          </w:p>
        </w:tc>
      </w:tr>
      <w:tr>
        <w:tc>
          <w:tcPr>
            <w:tcW w:type="dxa" w:w="2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Rejetées</w:t>
            </w:r>
          </w:p>
        </w:tc>
        <w:tc>
          <w:tcPr>
            <w:tcW w:type="dxa" w:w="49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Compteur + pourcentage (exemple : 35 — 22,4 %)</w:t>
            </w:r>
          </w:p>
        </w:tc>
        <w:tc>
          <w:tcPr>
            <w:tcW w:type="dxa" w:w="20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Rouge</w:t>
            </w:r>
          </w:p>
        </w:tc>
      </w:tr>
    </w:tbl>
    <w:p>
      <w:pPr>
        <w:pStyle w:val="Heading3"/>
      </w:pPr>
      <w:r>
        <w:t xml:space="preserve">Zone graphiques (2 visualisations)</w:t>
      </w:r>
    </w:p>
    <w:p>
      <w:pPr>
        <w:pStyle w:val="ListParagraph"/>
        <w:numPr>
          <w:ilvl w:val="0"/>
          <w:numId w:val="2"/>
        </w:numPr>
        <w:spacing w:after="60" w:line="264"/>
        <w:jc w:val="both"/>
      </w:pPr>
      <w:r>
        <w:rPr>
          <w:b/>
          <w:bCs/>
        </w:rPr>
        <w:t xml:space="preserve">Évolution des DAP par Mois</w:t>
      </w:r>
      <w:r>
        <w:t xml:space="preserve"> — histogramme « Nombre de DAP par statut et par mois », barres colorées par statut (validées / en attente / rejetées).</w:t>
      </w:r>
    </w:p>
    <w:p>
      <w:pPr>
        <w:pStyle w:val="ListParagraph"/>
        <w:numPr>
          <w:ilvl w:val="0"/>
          <w:numId w:val="2"/>
        </w:numPr>
        <w:spacing w:after="60" w:line="264"/>
        <w:jc w:val="both"/>
      </w:pPr>
      <w:r>
        <w:rPr>
          <w:b/>
          <w:bCs/>
        </w:rPr>
        <w:t xml:space="preserve">Répartition par Statut</w:t>
      </w:r>
      <w:r>
        <w:t xml:space="preserve"> — diagramme sectoriel « Distribution globale des statuts DAP ».</w:t>
      </w:r>
    </w:p>
    <w:p>
      <w:pPr>
        <w:spacing w:after="180" w:before="100"/>
        <w:jc w:val="center"/>
      </w:pPr>
      <w:r>
        <w:rPr>
          <w:i/>
          <w:iCs/>
          <w:color w:val="595959"/>
          <w:sz w:val="18"/>
          <w:szCs w:val="18"/>
        </w:rPr>
        <w:t xml:space="preserve">Référence : maquette du dashboard Supply Chain (Figure 4.11 du rapport)</w:t>
      </w:r>
    </w:p>
    <w:p>
      <w:r>
        <w:br w:type="page"/>
      </w:r>
    </w:p>
    <w:p>
      <w:pPr>
        <w:pStyle w:val="Heading1"/>
      </w:pPr>
      <w:r>
        <w:t xml:space="preserve">9.  Sécurité, accès et exigences non fonctionnelles</w:t>
      </w:r>
    </w:p>
    <w:p>
      <w:pPr>
        <w:pStyle w:val="Heading2"/>
      </w:pPr>
      <w:r>
        <w:t xml:space="preserve">9.1   Sécurité des accès</w:t>
      </w:r>
    </w:p>
    <w:p>
      <w:pPr>
        <w:pStyle w:val="ListParagraph"/>
        <w:numPr>
          <w:ilvl w:val="0"/>
          <w:numId w:val="2"/>
        </w:numPr>
        <w:spacing w:after="60" w:line="264"/>
        <w:jc w:val="both"/>
      </w:pPr>
      <w:r>
        <w:t xml:space="preserve">Authentification individuelle obligatoire pour chaque profil (RBAC — Role-Based Access Control).</w:t>
      </w:r>
    </w:p>
    <w:p>
      <w:pPr>
        <w:pStyle w:val="ListParagraph"/>
        <w:numPr>
          <w:ilvl w:val="0"/>
          <w:numId w:val="2"/>
        </w:numPr>
        <w:spacing w:after="60" w:line="264"/>
        <w:jc w:val="both"/>
      </w:pPr>
      <w:r>
        <w:t xml:space="preserve">Redirection automatique vers le dashboard correspondant au profil après authentification.</w:t>
      </w:r>
    </w:p>
    <w:p>
      <w:pPr>
        <w:pStyle w:val="ListParagraph"/>
        <w:numPr>
          <w:ilvl w:val="0"/>
          <w:numId w:val="2"/>
        </w:numPr>
        <w:spacing w:after="60" w:line="264"/>
        <w:jc w:val="both"/>
      </w:pPr>
      <w:r>
        <w:t xml:space="preserve">Chiffrement des identifiants et des accès (mentionné dans la spécification de l'écran de connexion).</w:t>
      </w:r>
    </w:p>
    <w:p>
      <w:pPr>
        <w:pStyle w:val="ListParagraph"/>
        <w:numPr>
          <w:ilvl w:val="0"/>
          <w:numId w:val="2"/>
        </w:numPr>
        <w:spacing w:after="60" w:line="264"/>
        <w:jc w:val="both"/>
      </w:pPr>
      <w:r>
        <w:t xml:space="preserve">Journal d'audit immuable : enregistrement de l'identifiant opérateur, de la date et de l'heure pour chaque création, modification ou validation de mouvement.</w:t>
      </w:r>
    </w:p>
    <w:p>
      <w:pPr>
        <w:pStyle w:val="Heading2"/>
      </w:pPr>
      <w:r>
        <w:t xml:space="preserve">9.2   Étanchéité des rôles</w:t>
      </w:r>
    </w:p>
    <w:p>
      <w:pPr>
        <w:spacing w:after="120" w:line="276"/>
        <w:jc w:val="both"/>
      </w:pPr>
      <w:r>
        <w:t xml:space="preserve">Chaque profil n'accède qu'aux écrans et données prévus par sa matrice de rôles (section 2). En particulier : le Magasinier ne voit que les DAP au statut « validée » ; le demandeur ne voit que ses propres DAP ; la Cellule Supply Chain dispose d'une vue transverse.</w:t>
      </w:r>
    </w:p>
    <w:p>
      <w:pPr>
        <w:pStyle w:val="Heading2"/>
      </w:pPr>
      <w:r>
        <w:t xml:space="preserve">9.3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Exigence</w:t>
            </w:r>
          </w:p>
        </w:tc>
        <w:tc>
          <w:tcPr>
            <w:tcW w:type="dxa" w:w="67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Spécification</w:t>
            </w:r>
          </w:p>
        </w:tc>
      </w:tr>
      <w:tr>
        <w:tc>
          <w:tcPr>
            <w:tcW w:type="dxa" w:w="26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Performance</w:t>
            </w:r>
          </w:p>
        </w:tc>
        <w:tc>
          <w:tcPr>
            <w:tcW w:type="dxa" w:w="67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Traitement instantané en ligne ; Lead Time d'une DAP inférieur à 5 minutes.</w:t>
            </w:r>
          </w:p>
        </w:tc>
      </w:tr>
      <w:tr>
        <w:tc>
          <w:tcPr>
            <w:tcW w:type="dxa" w:w="26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Traçabilité</w:t>
            </w:r>
          </w:p>
        </w:tc>
        <w:tc>
          <w:tcPr>
            <w:tcW w:type="dxa" w:w="67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100 % des mouvements et des validations enregistrés de manière immuable.</w:t>
            </w:r>
          </w:p>
        </w:tc>
      </w:tr>
      <w:tr>
        <w:tc>
          <w:tcPr>
            <w:tcW w:type="dxa" w:w="26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Fiabilité des données</w:t>
            </w:r>
          </w:p>
        </w:tc>
        <w:tc>
          <w:tcPr>
            <w:tcW w:type="dxa" w:w="67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Décrémentation automatique et synchronisation immédiate du stock dès la confirmation de sortie.</w:t>
            </w:r>
          </w:p>
        </w:tc>
      </w:tr>
      <w:tr>
        <w:tc>
          <w:tcPr>
            <w:tcW w:type="dxa" w:w="26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bCs/>
                <w:color w:val="222222"/>
                <w:sz w:val="19"/>
                <w:szCs w:val="19"/>
              </w:rPr>
              <w:t xml:space="preserve">Ergonomie</w:t>
            </w:r>
          </w:p>
        </w:tc>
        <w:tc>
          <w:tcPr>
            <w:tcW w:type="dxa" w:w="67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Interfaces épurées, taux d'utilisation visé supérieur à 90 % des flux.</w:t>
            </w:r>
          </w:p>
        </w:tc>
      </w:tr>
      <w:tr>
        <w:tc>
          <w:tcPr>
            <w:tcW w:type="dxa" w:w="26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bCs/>
                <w:color w:val="222222"/>
                <w:sz w:val="19"/>
                <w:szCs w:val="19"/>
              </w:rPr>
              <w:t xml:space="preserve">Évolutivité</w:t>
            </w:r>
          </w:p>
        </w:tc>
        <w:tc>
          <w:tcPr>
            <w:tcW w:type="dxa" w:w="67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Architecture ouverte permettant l'intégration future avec la GMAO centralisée de l'ONCF.</w:t>
            </w:r>
          </w:p>
        </w:tc>
      </w:tr>
    </w:tbl>
    <w:p>
      <w:pPr>
        <w:spacing w:after="180" w:before="100"/>
        <w:jc w:val="center"/>
      </w:pPr>
      <w:r>
        <w:rPr>
          <w:i/>
          <w:iCs/>
          <w:color w:val="595959"/>
          <w:sz w:val="18"/>
          <w:szCs w:val="18"/>
        </w:rPr>
        <w:t xml:space="preserve">Tableau 6 — Exigences non fonctionnelles</w:t>
      </w:r>
    </w:p>
    <w:p>
      <w:r>
        <w:br w:type="page"/>
      </w:r>
    </w:p>
    <w:p>
      <w:pPr>
        <w:pStyle w:val="Heading1"/>
      </w:pPr>
      <w:r>
        <w:t xml:space="preserve">10.  Pilotage par indicateurs de performance (KPI)</w:t>
      </w:r>
    </w:p>
    <w:p>
      <w:pPr>
        <w:spacing w:after="120" w:line="276"/>
        <w:jc w:val="both"/>
      </w:pPr>
      <w:r>
        <w:t xml:space="preserve">La plateforme doit nativement produire les KPI ci-dessous, qui constituent le tableau de bord de contrôle permanent du processus.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Indicateur (KPI)</w:t>
            </w:r>
          </w:p>
        </w:tc>
        <w:tc>
          <w:tcPr>
            <w:tcW w:type="dxa" w:w="240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Objectif (target)</w:t>
            </w:r>
          </w:p>
        </w:tc>
        <w:tc>
          <w:tcPr>
            <w:tcW w:type="dxa" w:w="3760"/>
            <w:tcBorders>
              <w:top w:val="single" w:color="AABBD4" w:sz="1"/>
              <w:left w:val="single" w:color="AABBD4" w:sz="1"/>
              <w:bottom w:val="single" w:color="AABBD4" w:sz="1"/>
              <w:right w:val="single" w:color="AABBD4" w:sz="1"/>
            </w:tcBorders>
            <w:shd w:fill="2E5496" w:val="clear"/>
            <w:tcMar>
              <w:top w:type="dxa" w:w="80"/>
              <w:left w:type="dxa" w:w="120"/>
              <w:bottom w:type="dxa" w:w="80"/>
              <w:right w:type="dxa" w:w="120"/>
            </w:tcMar>
            <w:vAlign w:val="center"/>
          </w:tcPr>
          <w:p>
            <w:r>
              <w:rPr>
                <w:b/>
                <w:bCs/>
                <w:color w:val="FFFFFF"/>
                <w:sz w:val="20"/>
                <w:szCs w:val="20"/>
              </w:rPr>
              <w:t xml:space="preserve">Méthode de mesure système</w:t>
            </w:r>
          </w:p>
        </w:tc>
      </w:tr>
      <w:tr>
        <w:tc>
          <w:tcPr>
            <w:tcW w:type="dxa" w:w="32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Lead Time moyen d'une DAP</w:t>
            </w:r>
          </w:p>
        </w:tc>
        <w:tc>
          <w:tcPr>
            <w:tcW w:type="dxa" w:w="2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&lt; 5 minutes</w:t>
            </w:r>
          </w:p>
        </w:tc>
        <w:tc>
          <w:tcPr>
            <w:tcW w:type="dxa" w:w="37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Différence d'horodatage entre création et validation finale.</w:t>
            </w:r>
          </w:p>
        </w:tc>
      </w:tr>
      <w:tr>
        <w:tc>
          <w:tcPr>
            <w:tcW w:type="dxa" w:w="32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Taux de mise à jour automatique des stocks</w:t>
            </w:r>
          </w:p>
        </w:tc>
        <w:tc>
          <w:tcPr>
            <w:tcW w:type="dxa" w:w="2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100 % des mouvements enregistrés</w:t>
            </w:r>
          </w:p>
        </w:tc>
        <w:tc>
          <w:tcPr>
            <w:tcW w:type="dxa" w:w="37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Synchronisation immédiate des écritures dès confirmation de sortie.</w:t>
            </w:r>
          </w:p>
        </w:tc>
      </w:tr>
      <w:tr>
        <w:tc>
          <w:tcPr>
            <w:tcW w:type="dxa" w:w="32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Taux de traçabilité des validations</w:t>
            </w:r>
          </w:p>
        </w:tc>
        <w:tc>
          <w:tcPr>
            <w:tcW w:type="dxa" w:w="2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100 % des signatures tracées</w:t>
            </w:r>
          </w:p>
        </w:tc>
        <w:tc>
          <w:tcPr>
            <w:tcW w:type="dxa" w:w="37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Enregistrement immuable de l'ID utilisateur pour chaque approbation ou refus.</w:t>
            </w:r>
          </w:p>
        </w:tc>
      </w:tr>
      <w:tr>
        <w:tc>
          <w:tcPr>
            <w:tcW w:type="dxa" w:w="32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Taux de rupture non détectée</w:t>
            </w:r>
          </w:p>
        </w:tc>
        <w:tc>
          <w:tcPr>
            <w:tcW w:type="dxa" w:w="240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Tendre vers 0 %</w:t>
            </w:r>
          </w:p>
        </w:tc>
        <w:tc>
          <w:tcPr>
            <w:tcW w:type="dxa" w:w="3760"/>
            <w:tcBorders>
              <w:top w:val="single" w:color="AABBD4" w:sz="1"/>
              <w:left w:val="single" w:color="AABBD4" w:sz="1"/>
              <w:bottom w:val="single" w:color="AABBD4" w:sz="1"/>
              <w:right w:val="single" w:color="AABBD4" w:sz="1"/>
            </w:tcBorders>
            <w:shd w:fill="F2F6FB" w:val="clear"/>
            <w:tcMar>
              <w:top w:type="dxa" w:w="70"/>
              <w:left w:type="dxa" w:w="120"/>
              <w:bottom w:type="dxa" w:w="70"/>
              <w:right w:type="dxa" w:w="120"/>
            </w:tcMar>
            <w:vAlign w:val="center"/>
          </w:tcPr>
          <w:p>
            <w:pPr>
              <w:spacing w:after="20"/>
            </w:pPr>
            <w:r>
              <w:rPr>
                <w:b w:val="false"/>
                <w:bCs w:val="false"/>
                <w:color w:val="222222"/>
                <w:sz w:val="19"/>
                <w:szCs w:val="19"/>
              </w:rPr>
              <w:t xml:space="preserve">Alertes automatiques dès franchissement du stock de sécurité.</w:t>
            </w:r>
          </w:p>
        </w:tc>
      </w:tr>
      <w:tr>
        <w:tc>
          <w:tcPr>
            <w:tcW w:type="dxa" w:w="32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Taux d'utilisation de l'interface</w:t>
            </w:r>
          </w:p>
        </w:tc>
        <w:tc>
          <w:tcPr>
            <w:tcW w:type="dxa" w:w="240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&gt; 90 % des flux globaux</w:t>
            </w:r>
          </w:p>
        </w:tc>
        <w:tc>
          <w:tcPr>
            <w:tcW w:type="dxa" w:w="3760"/>
            <w:tcBorders>
              <w:top w:val="single" w:color="AABBD4" w:sz="1"/>
              <w:left w:val="single" w:color="AABBD4" w:sz="1"/>
              <w:bottom w:val="single" w:color="AABBD4" w:sz="1"/>
              <w:right w:val="single" w:color="AABBD4" w:sz="1"/>
            </w:tcBorders>
            <w:tcMar>
              <w:top w:type="dxa" w:w="70"/>
              <w:left w:type="dxa" w:w="120"/>
              <w:bottom w:type="dxa" w:w="70"/>
              <w:right w:type="dxa" w:w="120"/>
            </w:tcMar>
            <w:vAlign w:val="center"/>
          </w:tcPr>
          <w:p>
            <w:pPr>
              <w:spacing w:after="20"/>
            </w:pPr>
            <w:r>
              <w:rPr>
                <w:b w:val="false"/>
                <w:bCs w:val="false"/>
                <w:color w:val="222222"/>
                <w:sz w:val="19"/>
                <w:szCs w:val="19"/>
              </w:rPr>
              <w:t xml:space="preserve">Cohérence entre DAP numériques et sorties physiques.</w:t>
            </w:r>
          </w:p>
        </w:tc>
      </w:tr>
    </w:tbl>
    <w:p>
      <w:pPr>
        <w:spacing w:after="180" w:before="100"/>
        <w:jc w:val="center"/>
      </w:pPr>
      <w:r>
        <w:rPr>
          <w:i/>
          <w:iCs/>
          <w:color w:val="595959"/>
          <w:sz w:val="18"/>
          <w:szCs w:val="18"/>
        </w:rPr>
        <w:t xml:space="preserve">Tableau 7 — Tableau de bord de pilotage (source : Tableau 4.3 du rapport)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2F0" w:sz="4" w:space="2"/>
      </w:pBd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2F0" w:sz="4" w:space="2"/>
      </w:pBdr>
      <w:jc w:val="right"/>
    </w:pPr>
    <w:r>
      <w:rPr>
        <w:color w:val="595959"/>
        <w:sz w:val="16"/>
        <w:szCs w:val="16"/>
      </w:rPr>
      <w:t xml:space="preserve">Cahier des charges — Plateforme DAP | EMIZ — ONCF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2E75B6"/>
      </w:r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Plateforme DAP</dc:title>
  <dc:creator>EMIZ — Pôle Matériel ONCF</dc:creator>
  <cp:lastModifiedBy>Un-named</cp:lastModifiedBy>
  <cp:revision>1</cp:revision>
  <dcterms:created xsi:type="dcterms:W3CDTF">2026-06-02T20:32:16.520Z</dcterms:created>
  <dcterms:modified xsi:type="dcterms:W3CDTF">2026-06-02T20:32:16.531Z</dcterms:modified>
</cp:coreProperties>
</file>

<file path=docProps/custom.xml><?xml version="1.0" encoding="utf-8"?>
<Properties xmlns="http://schemas.openxmlformats.org/officeDocument/2006/custom-properties" xmlns:vt="http://schemas.openxmlformats.org/officeDocument/2006/docPropsVTypes"/>
</file>