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9923c7eacbad59203265c61d5b10d9e26c834ab"/>
    <w:p>
      <w:pPr>
        <w:pStyle w:val="Heading1"/>
      </w:pPr>
      <w:r>
        <w:t xml:space="preserve">CHAPTER FOUR: EXPECTED CONTRIBUTIONS TO KNOWLEDGE</w:t>
      </w:r>
    </w:p>
    <w:bookmarkStart w:id="20" w:name="overview"/>
    <w:p>
      <w:pPr>
        <w:pStyle w:val="Heading2"/>
      </w:pPr>
      <w:r>
        <w:t xml:space="preserve">4.1 Overview</w:t>
      </w:r>
    </w:p>
    <w:p>
      <w:pPr>
        <w:pStyle w:val="FirstParagraph"/>
      </w:pPr>
      <w:r>
        <w:t xml:space="preserve">This research is expected to make significant contributions to the understanding of the Bornu Chad Basin petroleum system while advancing methodological approaches applicable to frontier basin exploration. The contributions span scientific knowledge, practical exploration value, and methodological innovation.</w:t>
      </w:r>
    </w:p>
    <w:bookmarkEnd w:id="20"/>
    <w:bookmarkStart w:id="25" w:name="scientific-contributions"/>
    <w:p>
      <w:pPr>
        <w:pStyle w:val="Heading2"/>
      </w:pPr>
      <w:r>
        <w:t xml:space="preserve">4.2 Scientific Contributions</w:t>
      </w:r>
    </w:p>
    <w:bookmarkStart w:id="21" w:name="structural-framework-definition"/>
    <w:p>
      <w:pPr>
        <w:pStyle w:val="Heading3"/>
      </w:pPr>
      <w:r>
        <w:t xml:space="preserve">4.2.1 Structural Framework Definition</w:t>
      </w:r>
    </w:p>
    <w:p>
      <w:pPr>
        <w:pStyle w:val="FirstParagraph"/>
      </w:pPr>
      <w:r>
        <w:rPr>
          <w:bCs/>
          <w:b/>
        </w:rPr>
        <w:t xml:space="preserve">Expected Contribution</w:t>
      </w:r>
      <w:r>
        <w:t xml:space="preserve">: The first comprehensive, quantitative structural interpretation of the Bornu Chad Basin 3D seismic volume.</w:t>
      </w:r>
    </w:p>
    <w:p>
      <w:pPr>
        <w:pStyle w:val="BodyText"/>
      </w:pPr>
      <w:r>
        <w:t xml:space="preserve">This research will produce:</w:t>
      </w:r>
    </w:p>
    <w:p>
      <w:pPr>
        <w:numPr>
          <w:ilvl w:val="0"/>
          <w:numId w:val="1001"/>
        </w:numPr>
        <w:pStyle w:val="Compact"/>
      </w:pPr>
      <w:r>
        <w:rPr>
          <w:bCs/>
          <w:b/>
        </w:rPr>
        <w:t xml:space="preserve">Detailed fault network characterization</w:t>
      </w:r>
      <w:r>
        <w:t xml:space="preserve">: Identification and characterization of all significant faults within the study area, including:</w:t>
      </w:r>
    </w:p>
    <w:p>
      <w:pPr>
        <w:numPr>
          <w:ilvl w:val="1"/>
          <w:numId w:val="1002"/>
        </w:numPr>
        <w:pStyle w:val="Compact"/>
      </w:pPr>
      <w:r>
        <w:t xml:space="preserve">Fault locations with precise inline/crossline coordinates</w:t>
      </w:r>
    </w:p>
    <w:p>
      <w:pPr>
        <w:numPr>
          <w:ilvl w:val="1"/>
          <w:numId w:val="1002"/>
        </w:numPr>
        <w:pStyle w:val="Compact"/>
      </w:pPr>
      <w:r>
        <w:t xml:space="preserve">Throw magnitudes in milliseconds and estimated meters</w:t>
      </w:r>
    </w:p>
    <w:p>
      <w:pPr>
        <w:numPr>
          <w:ilvl w:val="1"/>
          <w:numId w:val="1002"/>
        </w:numPr>
        <w:pStyle w:val="Compact"/>
      </w:pPr>
      <w:r>
        <w:t xml:space="preserve">Strike orientations and dip directions</w:t>
      </w:r>
    </w:p>
    <w:p>
      <w:pPr>
        <w:numPr>
          <w:ilvl w:val="1"/>
          <w:numId w:val="1002"/>
        </w:numPr>
        <w:pStyle w:val="Compact"/>
      </w:pPr>
      <w:r>
        <w:t xml:space="preserve">Fault segmentation and linkage patterns</w:t>
      </w:r>
    </w:p>
    <w:p>
      <w:pPr>
        <w:numPr>
          <w:ilvl w:val="0"/>
          <w:numId w:val="1001"/>
        </w:numPr>
        <w:pStyle w:val="Compact"/>
      </w:pPr>
      <w:r>
        <w:rPr>
          <w:bCs/>
          <w:b/>
        </w:rPr>
        <w:t xml:space="preserve">Structural style documentation</w:t>
      </w:r>
      <w:r>
        <w:t xml:space="preserve">: Quantitative documentation of the rift structural style, including:</w:t>
      </w:r>
    </w:p>
    <w:p>
      <w:pPr>
        <w:numPr>
          <w:ilvl w:val="1"/>
          <w:numId w:val="1003"/>
        </w:numPr>
        <w:pStyle w:val="Compact"/>
      </w:pPr>
      <w:r>
        <w:t xml:space="preserve">Half-graben geometries and dimensions</w:t>
      </w:r>
    </w:p>
    <w:p>
      <w:pPr>
        <w:numPr>
          <w:ilvl w:val="1"/>
          <w:numId w:val="1003"/>
        </w:numPr>
        <w:pStyle w:val="Compact"/>
      </w:pPr>
      <w:r>
        <w:t xml:space="preserve">Fault population statistics (throw distributions, length distributions)</w:t>
      </w:r>
    </w:p>
    <w:p>
      <w:pPr>
        <w:numPr>
          <w:ilvl w:val="1"/>
          <w:numId w:val="1003"/>
        </w:numPr>
        <w:pStyle w:val="Compact"/>
      </w:pPr>
      <w:r>
        <w:t xml:space="preserve">Fault density variations across the survey</w:t>
      </w:r>
    </w:p>
    <w:p>
      <w:pPr>
        <w:numPr>
          <w:ilvl w:val="1"/>
          <w:numId w:val="1003"/>
        </w:numPr>
        <w:pStyle w:val="Compact"/>
      </w:pPr>
      <w:r>
        <w:t xml:space="preserve">Relationship between fault orientation and regional stress fields</w:t>
      </w:r>
    </w:p>
    <w:p>
      <w:pPr>
        <w:numPr>
          <w:ilvl w:val="0"/>
          <w:numId w:val="1001"/>
        </w:numPr>
        <w:pStyle w:val="Compact"/>
      </w:pPr>
      <w:r>
        <w:rPr>
          <w:bCs/>
          <w:b/>
        </w:rPr>
        <w:t xml:space="preserve">Structural evolution insights</w:t>
      </w:r>
      <w:r>
        <w:t xml:space="preserve">: Interpretation of fault timing and growth history based on throw variations with depth, contributing to understanding of basin evolution.</w:t>
      </w:r>
    </w:p>
    <w:p>
      <w:pPr>
        <w:pStyle w:val="FirstParagraph"/>
      </w:pPr>
      <w:r>
        <w:rPr>
          <w:bCs/>
          <w:b/>
        </w:rPr>
        <w:t xml:space="preserve">Significance</w:t>
      </w:r>
      <w:r>
        <w:t xml:space="preserve">: This structural framework will provide the foundation for understanding trap configurations and will be the most detailed publicly available structural analysis of the basin.</w:t>
      </w:r>
    </w:p>
    <w:bookmarkEnd w:id="21"/>
    <w:bookmarkStart w:id="22" w:name="stratigraphic-framework-refinement"/>
    <w:p>
      <w:pPr>
        <w:pStyle w:val="Heading3"/>
      </w:pPr>
      <w:r>
        <w:t xml:space="preserve">4.2.2 Stratigraphic Framework Refinement</w:t>
      </w:r>
    </w:p>
    <w:p>
      <w:pPr>
        <w:pStyle w:val="FirstParagraph"/>
      </w:pPr>
      <w:r>
        <w:rPr>
          <w:bCs/>
          <w:b/>
        </w:rPr>
        <w:t xml:space="preserve">Expected Contribution</w:t>
      </w:r>
      <w:r>
        <w:t xml:space="preserve">: Refined stratigraphic correlations across the 3D survey area with quantified well-seismic calibration.</w:t>
      </w:r>
    </w:p>
    <w:p>
      <w:pPr>
        <w:pStyle w:val="BodyText"/>
      </w:pPr>
      <w:r>
        <w:t xml:space="preserve">Specifically:</w:t>
      </w:r>
    </w:p>
    <w:p>
      <w:pPr>
        <w:numPr>
          <w:ilvl w:val="0"/>
          <w:numId w:val="1004"/>
        </w:numPr>
        <w:pStyle w:val="Compact"/>
      </w:pPr>
      <w:r>
        <w:rPr>
          <w:bCs/>
          <w:b/>
        </w:rPr>
        <w:t xml:space="preserve">Calibrated horizon picks</w:t>
      </w:r>
      <w:r>
        <w:t xml:space="preserve">: Four major horizons (Top Chad, Top Fika, Top Gongila, Top Bima) mapped across the full survey extent with:</w:t>
      </w:r>
    </w:p>
    <w:p>
      <w:pPr>
        <w:numPr>
          <w:ilvl w:val="1"/>
          <w:numId w:val="1005"/>
        </w:numPr>
        <w:pStyle w:val="Compact"/>
      </w:pPr>
      <w:r>
        <w:t xml:space="preserve">Well-calibrated time picks</w:t>
      </w:r>
    </w:p>
    <w:p>
      <w:pPr>
        <w:numPr>
          <w:ilvl w:val="1"/>
          <w:numId w:val="1005"/>
        </w:numPr>
        <w:pStyle w:val="Compact"/>
      </w:pPr>
      <w:r>
        <w:t xml:space="preserve">Documented correlation coefficients at each well location</w:t>
      </w:r>
    </w:p>
    <w:p>
      <w:pPr>
        <w:numPr>
          <w:ilvl w:val="1"/>
          <w:numId w:val="1005"/>
        </w:numPr>
        <w:pStyle w:val="Compact"/>
      </w:pPr>
      <w:r>
        <w:t xml:space="preserve">Confidence assessment based on tie quality</w:t>
      </w:r>
    </w:p>
    <w:p>
      <w:pPr>
        <w:numPr>
          <w:ilvl w:val="0"/>
          <w:numId w:val="1004"/>
        </w:numPr>
        <w:pStyle w:val="Compact"/>
      </w:pPr>
      <w:r>
        <w:rPr>
          <w:bCs/>
          <w:b/>
        </w:rPr>
        <w:t xml:space="preserve">Time-structure maps</w:t>
      </w:r>
      <w:r>
        <w:t xml:space="preserve">: Contoured time-structure maps showing:</w:t>
      </w:r>
    </w:p>
    <w:p>
      <w:pPr>
        <w:numPr>
          <w:ilvl w:val="1"/>
          <w:numId w:val="1006"/>
        </w:numPr>
        <w:pStyle w:val="Compact"/>
      </w:pPr>
      <w:r>
        <w:t xml:space="preserve">Regional dip directions and magnitudes</w:t>
      </w:r>
    </w:p>
    <w:p>
      <w:pPr>
        <w:numPr>
          <w:ilvl w:val="1"/>
          <w:numId w:val="1006"/>
        </w:numPr>
        <w:pStyle w:val="Compact"/>
      </w:pPr>
      <w:r>
        <w:t xml:space="preserve">Structural closures and saddles</w:t>
      </w:r>
    </w:p>
    <w:p>
      <w:pPr>
        <w:numPr>
          <w:ilvl w:val="1"/>
          <w:numId w:val="1006"/>
        </w:numPr>
        <w:pStyle w:val="Compact"/>
      </w:pPr>
      <w:r>
        <w:t xml:space="preserve">Relationship to fault patterns</w:t>
      </w:r>
    </w:p>
    <w:p>
      <w:pPr>
        <w:numPr>
          <w:ilvl w:val="0"/>
          <w:numId w:val="1004"/>
        </w:numPr>
        <w:pStyle w:val="Compact"/>
      </w:pPr>
      <w:r>
        <w:rPr>
          <w:bCs/>
          <w:b/>
        </w:rPr>
        <w:t xml:space="preserve">Isochron analysis</w:t>
      </w:r>
      <w:r>
        <w:t xml:space="preserve">: Time-thickness (isochron) variations between horizons providing insights into:</w:t>
      </w:r>
    </w:p>
    <w:p>
      <w:pPr>
        <w:numPr>
          <w:ilvl w:val="1"/>
          <w:numId w:val="1007"/>
        </w:numPr>
        <w:pStyle w:val="Compact"/>
      </w:pPr>
      <w:r>
        <w:t xml:space="preserve">Depositional thickness patterns</w:t>
      </w:r>
    </w:p>
    <w:p>
      <w:pPr>
        <w:numPr>
          <w:ilvl w:val="1"/>
          <w:numId w:val="1007"/>
        </w:numPr>
        <w:pStyle w:val="Compact"/>
      </w:pPr>
      <w:r>
        <w:t xml:space="preserve">Syndepositional faulting indicators</w:t>
      </w:r>
    </w:p>
    <w:p>
      <w:pPr>
        <w:numPr>
          <w:ilvl w:val="1"/>
          <w:numId w:val="1007"/>
        </w:numPr>
        <w:pStyle w:val="Compact"/>
      </w:pPr>
      <w:r>
        <w:t xml:space="preserve">Accommodation space variations</w:t>
      </w:r>
    </w:p>
    <w:p>
      <w:pPr>
        <w:pStyle w:val="FirstParagraph"/>
      </w:pPr>
      <w:r>
        <w:rPr>
          <w:bCs/>
          <w:b/>
        </w:rPr>
        <w:t xml:space="preserve">Significance</w:t>
      </w:r>
      <w:r>
        <w:t xml:space="preserve">: These stratigraphic products will enable correlation with regional studies and provide the framework for reservoir characterization.</w:t>
      </w:r>
    </w:p>
    <w:bookmarkEnd w:id="22"/>
    <w:bookmarkStart w:id="23" w:name="reservoir-characterization-insights"/>
    <w:p>
      <w:pPr>
        <w:pStyle w:val="Heading3"/>
      </w:pPr>
      <w:r>
        <w:t xml:space="preserve">4.2.3 Reservoir Characterization Insights</w:t>
      </w:r>
    </w:p>
    <w:p>
      <w:pPr>
        <w:pStyle w:val="FirstParagraph"/>
      </w:pPr>
      <w:r>
        <w:rPr>
          <w:bCs/>
          <w:b/>
        </w:rPr>
        <w:t xml:space="preserve">Expected Contribution</w:t>
      </w:r>
      <w:r>
        <w:t xml:space="preserve">: Integrated characterization of reservoir distribution and quality variations.</w:t>
      </w:r>
    </w:p>
    <w:p>
      <w:pPr>
        <w:pStyle w:val="BodyText"/>
      </w:pPr>
      <w:r>
        <w:t xml:space="preserve">Including:</w:t>
      </w:r>
    </w:p>
    <w:p>
      <w:pPr>
        <w:numPr>
          <w:ilvl w:val="0"/>
          <w:numId w:val="1008"/>
        </w:numPr>
        <w:pStyle w:val="Compact"/>
      </w:pPr>
      <w:r>
        <w:rPr>
          <w:bCs/>
          <w:b/>
        </w:rPr>
        <w:t xml:space="preserve">Seismic facies analysis</w:t>
      </w:r>
      <w:r>
        <w:t xml:space="preserve">: Documentation of amplitude and seismic character variations within reservoir intervals, providing:</w:t>
      </w:r>
    </w:p>
    <w:p>
      <w:pPr>
        <w:numPr>
          <w:ilvl w:val="1"/>
          <w:numId w:val="1009"/>
        </w:numPr>
        <w:pStyle w:val="Compact"/>
      </w:pPr>
      <w:r>
        <w:t xml:space="preserve">Reservoir presence/absence indicators</w:t>
      </w:r>
    </w:p>
    <w:p>
      <w:pPr>
        <w:numPr>
          <w:ilvl w:val="1"/>
          <w:numId w:val="1009"/>
        </w:numPr>
        <w:pStyle w:val="Compact"/>
      </w:pPr>
      <w:r>
        <w:t xml:space="preserve">Potential reservoir quality variations (porous vs. tight)</w:t>
      </w:r>
    </w:p>
    <w:p>
      <w:pPr>
        <w:numPr>
          <w:ilvl w:val="1"/>
          <w:numId w:val="1009"/>
        </w:numPr>
        <w:pStyle w:val="Compact"/>
      </w:pPr>
      <w:r>
        <w:t xml:space="preserve">Depositional environment interpretations</w:t>
      </w:r>
    </w:p>
    <w:p>
      <w:pPr>
        <w:numPr>
          <w:ilvl w:val="0"/>
          <w:numId w:val="1008"/>
        </w:numPr>
        <w:pStyle w:val="Compact"/>
      </w:pPr>
      <w:r>
        <w:rPr>
          <w:bCs/>
          <w:b/>
        </w:rPr>
        <w:t xml:space="preserve">Petrophysical property distributions</w:t>
      </w:r>
      <w:r>
        <w:t xml:space="preserve">: From well log analysis:</w:t>
      </w:r>
    </w:p>
    <w:p>
      <w:pPr>
        <w:numPr>
          <w:ilvl w:val="1"/>
          <w:numId w:val="1010"/>
        </w:numPr>
        <w:pStyle w:val="Compact"/>
      </w:pPr>
      <w:r>
        <w:t xml:space="preserve">Porosity distributions by formation</w:t>
      </w:r>
    </w:p>
    <w:p>
      <w:pPr>
        <w:numPr>
          <w:ilvl w:val="1"/>
          <w:numId w:val="1010"/>
        </w:numPr>
        <w:pStyle w:val="Compact"/>
      </w:pPr>
      <w:r>
        <w:t xml:space="preserve">Net-to-gross ratio estimates</w:t>
      </w:r>
    </w:p>
    <w:p>
      <w:pPr>
        <w:numPr>
          <w:ilvl w:val="1"/>
          <w:numId w:val="1010"/>
        </w:numPr>
        <w:pStyle w:val="Compact"/>
      </w:pPr>
      <w:r>
        <w:t xml:space="preserve">Water saturation patterns</w:t>
      </w:r>
    </w:p>
    <w:p>
      <w:pPr>
        <w:numPr>
          <w:ilvl w:val="1"/>
          <w:numId w:val="1010"/>
        </w:numPr>
        <w:pStyle w:val="Compact"/>
      </w:pPr>
      <w:r>
        <w:t xml:space="preserve">Fluid contact depths</w:t>
      </w:r>
    </w:p>
    <w:p>
      <w:pPr>
        <w:numPr>
          <w:ilvl w:val="0"/>
          <w:numId w:val="1008"/>
        </w:numPr>
        <w:pStyle w:val="Compact"/>
      </w:pPr>
      <w:r>
        <w:rPr>
          <w:bCs/>
          <w:b/>
        </w:rPr>
        <w:t xml:space="preserve">Reservoir continuity assessment</w:t>
      </w:r>
      <w:r>
        <w:t xml:space="preserve">: Integration of seismic and well data to assess:</w:t>
      </w:r>
    </w:p>
    <w:p>
      <w:pPr>
        <w:numPr>
          <w:ilvl w:val="1"/>
          <w:numId w:val="1011"/>
        </w:numPr>
        <w:pStyle w:val="Compact"/>
      </w:pPr>
      <w:r>
        <w:t xml:space="preserve">Lateral extent of reservoir bodies</w:t>
      </w:r>
    </w:p>
    <w:p>
      <w:pPr>
        <w:numPr>
          <w:ilvl w:val="1"/>
          <w:numId w:val="1011"/>
        </w:numPr>
        <w:pStyle w:val="Compact"/>
      </w:pPr>
      <w:r>
        <w:t xml:space="preserve">Fault compartmentalization effects</w:t>
      </w:r>
    </w:p>
    <w:p>
      <w:pPr>
        <w:numPr>
          <w:ilvl w:val="1"/>
          <w:numId w:val="1011"/>
        </w:numPr>
        <w:pStyle w:val="Compact"/>
      </w:pPr>
      <w:r>
        <w:t xml:space="preserve">Communication between structural blocks</w:t>
      </w:r>
    </w:p>
    <w:bookmarkEnd w:id="23"/>
    <w:bookmarkStart w:id="24" w:name="hydrocarbon-indicators-documentation"/>
    <w:p>
      <w:pPr>
        <w:pStyle w:val="Heading3"/>
      </w:pPr>
      <w:r>
        <w:t xml:space="preserve">4.2.4 Hydrocarbon Indicators Documentation</w:t>
      </w:r>
    </w:p>
    <w:p>
      <w:pPr>
        <w:pStyle w:val="FirstParagraph"/>
      </w:pPr>
      <w:r>
        <w:rPr>
          <w:bCs/>
          <w:b/>
        </w:rPr>
        <w:t xml:space="preserve">Expected Contribution</w:t>
      </w:r>
      <w:r>
        <w:t xml:space="preserve">: Systematic identification and evaluation of Direct Hydrocarbon Indicators (DHIs).</w:t>
      </w:r>
    </w:p>
    <w:p>
      <w:pPr>
        <w:pStyle w:val="BodyText"/>
      </w:pPr>
      <w:r>
        <w:t xml:space="preserve">This research will:</w:t>
      </w:r>
    </w:p>
    <w:p>
      <w:pPr>
        <w:numPr>
          <w:ilvl w:val="0"/>
          <w:numId w:val="1012"/>
        </w:numPr>
        <w:pStyle w:val="Compact"/>
      </w:pPr>
      <w:r>
        <w:rPr>
          <w:bCs/>
          <w:b/>
        </w:rPr>
        <w:t xml:space="preserve">Identify amplitude anomalies</w:t>
      </w:r>
      <w:r>
        <w:t xml:space="preserve">: Statistical detection of amplitude anomalies exceeding background levels, with:</w:t>
      </w:r>
    </w:p>
    <w:p>
      <w:pPr>
        <w:numPr>
          <w:ilvl w:val="1"/>
          <w:numId w:val="1013"/>
        </w:numPr>
        <w:pStyle w:val="Compact"/>
      </w:pPr>
      <w:r>
        <w:t xml:space="preserve">Precise locations (IL/XL coordinates)</w:t>
      </w:r>
    </w:p>
    <w:p>
      <w:pPr>
        <w:numPr>
          <w:ilvl w:val="1"/>
          <w:numId w:val="1013"/>
        </w:numPr>
        <w:pStyle w:val="Compact"/>
      </w:pPr>
      <w:r>
        <w:t xml:space="preserve">Amplitude magnitudes relative to background</w:t>
      </w:r>
    </w:p>
    <w:p>
      <w:pPr>
        <w:numPr>
          <w:ilvl w:val="1"/>
          <w:numId w:val="1013"/>
        </w:numPr>
        <w:pStyle w:val="Compact"/>
      </w:pPr>
      <w:r>
        <w:t xml:space="preserve">Spatial extent and geometry</w:t>
      </w:r>
    </w:p>
    <w:p>
      <w:pPr>
        <w:numPr>
          <w:ilvl w:val="0"/>
          <w:numId w:val="1012"/>
        </w:numPr>
        <w:pStyle w:val="Compact"/>
      </w:pPr>
      <w:r>
        <w:rPr>
          <w:bCs/>
          <w:b/>
        </w:rPr>
        <w:t xml:space="preserve">Evaluate DHI confidence</w:t>
      </w:r>
      <w:r>
        <w:t xml:space="preserve">: Assessment of anomaly reliability considering:</w:t>
      </w:r>
    </w:p>
    <w:p>
      <w:pPr>
        <w:numPr>
          <w:ilvl w:val="1"/>
          <w:numId w:val="1014"/>
        </w:numPr>
        <w:pStyle w:val="Compact"/>
      </w:pPr>
      <w:r>
        <w:t xml:space="preserve">Conformance to structure</w:t>
      </w:r>
    </w:p>
    <w:p>
      <w:pPr>
        <w:numPr>
          <w:ilvl w:val="1"/>
          <w:numId w:val="1014"/>
        </w:numPr>
        <w:pStyle w:val="Compact"/>
      </w:pPr>
      <w:r>
        <w:t xml:space="preserve">Association with potential traps</w:t>
      </w:r>
    </w:p>
    <w:p>
      <w:pPr>
        <w:numPr>
          <w:ilvl w:val="1"/>
          <w:numId w:val="1014"/>
        </w:numPr>
        <w:pStyle w:val="Compact"/>
      </w:pPr>
      <w:r>
        <w:t xml:space="preserve">Consistency with expected fluid effects</w:t>
      </w:r>
    </w:p>
    <w:p>
      <w:pPr>
        <w:numPr>
          <w:ilvl w:val="1"/>
          <w:numId w:val="1014"/>
        </w:numPr>
        <w:pStyle w:val="Compact"/>
      </w:pPr>
      <w:r>
        <w:t xml:space="preserve">Alternative explanations (lithology, tuning)</w:t>
      </w:r>
    </w:p>
    <w:p>
      <w:pPr>
        <w:numPr>
          <w:ilvl w:val="0"/>
          <w:numId w:val="1012"/>
        </w:numPr>
        <w:pStyle w:val="Compact"/>
      </w:pPr>
      <w:r>
        <w:rPr>
          <w:bCs/>
          <w:b/>
        </w:rPr>
        <w:t xml:space="preserve">Rank DHI-supported prospects</w:t>
      </w:r>
      <w:r>
        <w:t xml:space="preserve">: Integration of DHI analysis with structural mapping to identify and rank prospects with amplitude support.</w:t>
      </w:r>
    </w:p>
    <w:p>
      <w:pPr>
        <w:pStyle w:val="FirstParagraph"/>
      </w:pPr>
      <w:r>
        <w:rPr>
          <w:bCs/>
          <w:b/>
        </w:rPr>
        <w:t xml:space="preserve">Significance</w:t>
      </w:r>
      <w:r>
        <w:t xml:space="preserve">: This will be the first systematic DHI analysis of the Bornu Chad Basin 3D data, directly applicable to exploration decision-making.</w:t>
      </w:r>
    </w:p>
    <w:bookmarkEnd w:id="24"/>
    <w:bookmarkEnd w:id="25"/>
    <w:bookmarkStart w:id="29" w:name="practicalapplied-contributions"/>
    <w:p>
      <w:pPr>
        <w:pStyle w:val="Heading2"/>
      </w:pPr>
      <w:r>
        <w:t xml:space="preserve">4.3 Practical/Applied Contributions</w:t>
      </w:r>
    </w:p>
    <w:bookmarkStart w:id="26" w:name="prospect-inventory"/>
    <w:p>
      <w:pPr>
        <w:pStyle w:val="Heading3"/>
      </w:pPr>
      <w:r>
        <w:t xml:space="preserve">4.3.1 Prospect Inventory</w:t>
      </w:r>
    </w:p>
    <w:p>
      <w:pPr>
        <w:pStyle w:val="FirstParagraph"/>
      </w:pPr>
      <w:r>
        <w:rPr>
          <w:bCs/>
          <w:b/>
        </w:rPr>
        <w:t xml:space="preserve">Expected Contribution</w:t>
      </w:r>
      <w:r>
        <w:t xml:space="preserve">: A documented inventory of exploration prospects with quantified parameters.</w:t>
      </w:r>
    </w:p>
    <w:p>
      <w:pPr>
        <w:pStyle w:val="BodyText"/>
      </w:pPr>
      <w:r>
        <w:t xml:space="preserve">Each prospect will include:</w:t>
      </w:r>
      <w:r>
        <w:t xml:space="preserve"> </w:t>
      </w:r>
      <w:r>
        <w:t xml:space="preserve">- Location and extent</w:t>
      </w:r>
      <w:r>
        <w:t xml:space="preserve"> </w:t>
      </w:r>
      <w:r>
        <w:t xml:space="preserve">- Trap type and geometry</w:t>
      </w:r>
      <w:r>
        <w:t xml:space="preserve"> </w:t>
      </w:r>
      <w:r>
        <w:t xml:space="preserve">- Closure area and relief</w:t>
      </w:r>
      <w:r>
        <w:t xml:space="preserve"> </w:t>
      </w:r>
      <w:r>
        <w:t xml:space="preserve">- DHI support assessment</w:t>
      </w:r>
      <w:r>
        <w:t xml:space="preserve"> </w:t>
      </w:r>
      <w:r>
        <w:t xml:space="preserve">- Estimated resources (P10/P50/P90)</w:t>
      </w:r>
      <w:r>
        <w:t xml:space="preserve"> </w:t>
      </w:r>
      <w:r>
        <w:t xml:space="preserve">- Geological risk factors</w:t>
      </w:r>
    </w:p>
    <w:bookmarkEnd w:id="26"/>
    <w:bookmarkStart w:id="27" w:name="drilling-recommendations"/>
    <w:p>
      <w:pPr>
        <w:pStyle w:val="Heading3"/>
      </w:pPr>
      <w:r>
        <w:t xml:space="preserve">4.3.2 Drilling Recommendations</w:t>
      </w:r>
    </w:p>
    <w:p>
      <w:pPr>
        <w:pStyle w:val="FirstParagraph"/>
      </w:pPr>
      <w:r>
        <w:rPr>
          <w:bCs/>
          <w:b/>
        </w:rPr>
        <w:t xml:space="preserve">Expected Contribution</w:t>
      </w:r>
      <w:r>
        <w:t xml:space="preserve">: Ranked drilling recommendations based on integrated technical analysis.</w:t>
      </w:r>
    </w:p>
    <w:p>
      <w:pPr>
        <w:pStyle w:val="BodyText"/>
      </w:pPr>
      <w:r>
        <w:t xml:space="preserve">Recommendations will consider:</w:t>
      </w:r>
      <w:r>
        <w:t xml:space="preserve"> </w:t>
      </w:r>
      <w:r>
        <w:t xml:space="preserve">- Resource potential</w:t>
      </w:r>
      <w:r>
        <w:t xml:space="preserve"> </w:t>
      </w:r>
      <w:r>
        <w:t xml:space="preserve">- Geological probability of success</w:t>
      </w:r>
      <w:r>
        <w:t xml:space="preserve"> </w:t>
      </w:r>
      <w:r>
        <w:t xml:space="preserve">- Data quality and interpretation confidence</w:t>
      </w:r>
      <w:r>
        <w:t xml:space="preserve"> </w:t>
      </w:r>
      <w:r>
        <w:t xml:space="preserve">- Operational considerations (depth, location)</w:t>
      </w:r>
    </w:p>
    <w:bookmarkEnd w:id="27"/>
    <w:bookmarkStart w:id="28" w:name="data-quality-assessment"/>
    <w:p>
      <w:pPr>
        <w:pStyle w:val="Heading3"/>
      </w:pPr>
      <w:r>
        <w:t xml:space="preserve">4.3.3 Data Quality Assessment</w:t>
      </w:r>
    </w:p>
    <w:p>
      <w:pPr>
        <w:pStyle w:val="FirstParagraph"/>
      </w:pPr>
      <w:r>
        <w:rPr>
          <w:bCs/>
          <w:b/>
        </w:rPr>
        <w:t xml:space="preserve">Expected Contribution</w:t>
      </w:r>
      <w:r>
        <w:t xml:space="preserve">: Documented assessment of seismic and well data quality with implications for interpretation confidence.</w:t>
      </w:r>
    </w:p>
    <w:p>
      <w:pPr>
        <w:pStyle w:val="BodyText"/>
      </w:pPr>
      <w:r>
        <w:t xml:space="preserve">This assessment will:</w:t>
      </w:r>
      <w:r>
        <w:t xml:space="preserve"> </w:t>
      </w:r>
      <w:r>
        <w:t xml:space="preserve">- Quantify resolution limitations</w:t>
      </w:r>
      <w:r>
        <w:t xml:space="preserve"> </w:t>
      </w:r>
      <w:r>
        <w:t xml:space="preserve">- Identify data gaps and their impact</w:t>
      </w:r>
      <w:r>
        <w:t xml:space="preserve"> </w:t>
      </w:r>
      <w:r>
        <w:t xml:space="preserve">- Provide guidance for future data acquisition</w:t>
      </w:r>
      <w:r>
        <w:t xml:space="preserve"> </w:t>
      </w:r>
      <w:r>
        <w:t xml:space="preserve">- Establish realistic expectations for interpretation precision</w:t>
      </w:r>
    </w:p>
    <w:bookmarkEnd w:id="28"/>
    <w:bookmarkEnd w:id="29"/>
    <w:bookmarkStart w:id="35" w:name="methodological-contributions"/>
    <w:p>
      <w:pPr>
        <w:pStyle w:val="Heading2"/>
      </w:pPr>
      <w:r>
        <w:t xml:space="preserve">4.4 Methodological Contributions</w:t>
      </w:r>
    </w:p>
    <w:bookmarkStart w:id="30" w:name="integrated-computational-workflow"/>
    <w:p>
      <w:pPr>
        <w:pStyle w:val="Heading3"/>
      </w:pPr>
      <w:r>
        <w:t xml:space="preserve">4.4.1 Integrated Computational Workflow</w:t>
      </w:r>
    </w:p>
    <w:p>
      <w:pPr>
        <w:pStyle w:val="FirstParagraph"/>
      </w:pPr>
      <w:r>
        <w:rPr>
          <w:bCs/>
          <w:b/>
        </w:rPr>
        <w:t xml:space="preserve">Expected Contribution</w:t>
      </w:r>
      <w:r>
        <w:t xml:space="preserve">: A documented, reproducible workflow for frontier basin interpretation combining automated and conventional methods.</w:t>
      </w:r>
    </w:p>
    <w:p>
      <w:pPr>
        <w:pStyle w:val="BodyText"/>
      </w:pPr>
      <w:r>
        <w:rPr>
          <w:bCs/>
          <w:b/>
        </w:rPr>
        <w:t xml:space="preserve">What differentiates this from traditional approaches</w:t>
      </w:r>
      <w:r>
        <w:t xml:space="preserve">:</w:t>
      </w:r>
    </w:p>
    <w:tbl>
      <w:tblPr>
        <w:tblStyle w:val="Table"/>
        <w:tblW w:type="pct" w:w="5000"/>
        <w:tblLook w:firstRow="1" w:lastRow="0" w:firstColumn="0" w:lastColumn="0" w:noHBand="0" w:noVBand="0" w:val="0020"/>
      </w:tblPr>
      <w:tblGrid>
        <w:gridCol w:w="4620"/>
        <w:gridCol w:w="3300"/>
      </w:tblGrid>
      <w:tr>
        <w:trPr>
          <w:tblHeader w:val="true"/>
        </w:trPr>
        <w:tc>
          <w:tcPr/>
          <w:p>
            <w:pPr>
              <w:pStyle w:val="Compact"/>
              <w:jc w:val="left"/>
            </w:pPr>
            <w:r>
              <w:t xml:space="preserve">Traditional Approach</w:t>
            </w:r>
          </w:p>
        </w:tc>
        <w:tc>
          <w:tcPr/>
          <w:p>
            <w:pPr>
              <w:pStyle w:val="Compact"/>
              <w:jc w:val="left"/>
            </w:pPr>
            <w:r>
              <w:t xml:space="preserve">This Research</w:t>
            </w:r>
          </w:p>
        </w:tc>
      </w:tr>
      <w:tr>
        <w:tc>
          <w:tcPr/>
          <w:p>
            <w:pPr>
              <w:pStyle w:val="Compact"/>
              <w:jc w:val="left"/>
            </w:pPr>
            <w:r>
              <w:t xml:space="preserve">Manual horizon picking</w:t>
            </w:r>
          </w:p>
        </w:tc>
        <w:tc>
          <w:tcPr/>
          <w:p>
            <w:pPr>
              <w:pStyle w:val="Compact"/>
              <w:jc w:val="left"/>
            </w:pPr>
            <w:r>
              <w:t xml:space="preserve">Automated tracking with well seeds</w:t>
            </w:r>
          </w:p>
        </w:tc>
      </w:tr>
      <w:tr>
        <w:tc>
          <w:tcPr/>
          <w:p>
            <w:pPr>
              <w:pStyle w:val="Compact"/>
              <w:jc w:val="left"/>
            </w:pPr>
            <w:r>
              <w:t xml:space="preserve">Qualitative fault mapping</w:t>
            </w:r>
          </w:p>
        </w:tc>
        <w:tc>
          <w:tcPr/>
          <w:p>
            <w:pPr>
              <w:pStyle w:val="Compact"/>
              <w:jc w:val="left"/>
            </w:pPr>
            <w:r>
              <w:t xml:space="preserve">Quantitative fault detection with throw measurement</w:t>
            </w:r>
          </w:p>
        </w:tc>
      </w:tr>
      <w:tr>
        <w:tc>
          <w:tcPr/>
          <w:p>
            <w:pPr>
              <w:pStyle w:val="Compact"/>
              <w:jc w:val="left"/>
            </w:pPr>
            <w:r>
              <w:t xml:space="preserve">Visual DHI identification</w:t>
            </w:r>
          </w:p>
        </w:tc>
        <w:tc>
          <w:tcPr/>
          <w:p>
            <w:pPr>
              <w:pStyle w:val="Compact"/>
              <w:jc w:val="left"/>
            </w:pPr>
            <w:r>
              <w:t xml:space="preserve">Statistical amplitude anomaly detection</w:t>
            </w:r>
          </w:p>
        </w:tc>
      </w:tr>
      <w:tr>
        <w:tc>
          <w:tcPr/>
          <w:p>
            <w:pPr>
              <w:pStyle w:val="Compact"/>
              <w:jc w:val="left"/>
            </w:pPr>
            <w:r>
              <w:t xml:space="preserve">Subjective quality assessment</w:t>
            </w:r>
          </w:p>
        </w:tc>
        <w:tc>
          <w:tcPr/>
          <w:p>
            <w:pPr>
              <w:pStyle w:val="Compact"/>
              <w:jc w:val="left"/>
            </w:pPr>
            <w:r>
              <w:t xml:space="preserve">Quantified correlation metrics</w:t>
            </w:r>
          </w:p>
        </w:tc>
      </w:tr>
      <w:tr>
        <w:tc>
          <w:tcPr/>
          <w:p>
            <w:pPr>
              <w:pStyle w:val="Compact"/>
              <w:jc w:val="left"/>
            </w:pPr>
            <w:r>
              <w:t xml:space="preserve">Paper-based documentation</w:t>
            </w:r>
          </w:p>
        </w:tc>
        <w:tc>
          <w:tcPr/>
          <w:p>
            <w:pPr>
              <w:pStyle w:val="Compact"/>
              <w:jc w:val="left"/>
            </w:pPr>
            <w:r>
              <w:t xml:space="preserve">Digital, reproducible workflows</w:t>
            </w:r>
          </w:p>
        </w:tc>
      </w:tr>
    </w:tbl>
    <w:p>
      <w:pPr>
        <w:pStyle w:val="BodyText"/>
      </w:pPr>
      <w:r>
        <w:t xml:space="preserve">The workflow will be:</w:t>
      </w:r>
      <w:r>
        <w:t xml:space="preserve"> </w:t>
      </w:r>
      <w:r>
        <w:t xml:space="preserve">-</w:t>
      </w:r>
      <w:r>
        <w:t xml:space="preserve"> </w:t>
      </w:r>
      <w:r>
        <w:rPr>
          <w:bCs/>
          <w:b/>
        </w:rPr>
        <w:t xml:space="preserve">Scripted</w:t>
      </w:r>
      <w:r>
        <w:t xml:space="preserve">: All processing steps implemented in code</w:t>
      </w:r>
      <w:r>
        <w:t xml:space="preserve"> </w:t>
      </w:r>
      <w:r>
        <w:t xml:space="preserve">-</w:t>
      </w:r>
      <w:r>
        <w:t xml:space="preserve"> </w:t>
      </w:r>
      <w:r>
        <w:rPr>
          <w:bCs/>
          <w:b/>
        </w:rPr>
        <w:t xml:space="preserve">Reproducible</w:t>
      </w:r>
      <w:r>
        <w:t xml:space="preserve">: Same inputs produce same outputs</w:t>
      </w:r>
      <w:r>
        <w:t xml:space="preserve"> </w:t>
      </w:r>
      <w:r>
        <w:t xml:space="preserve">-</w:t>
      </w:r>
      <w:r>
        <w:t xml:space="preserve"> </w:t>
      </w:r>
      <w:r>
        <w:rPr>
          <w:bCs/>
          <w:b/>
        </w:rPr>
        <w:t xml:space="preserve">Documented</w:t>
      </w:r>
      <w:r>
        <w:t xml:space="preserve">: Every parameter and decision recorded</w:t>
      </w:r>
      <w:r>
        <w:t xml:space="preserve"> </w:t>
      </w:r>
      <w:r>
        <w:t xml:space="preserve">-</w:t>
      </w:r>
      <w:r>
        <w:t xml:space="preserve"> </w:t>
      </w:r>
      <w:r>
        <w:rPr>
          <w:bCs/>
          <w:b/>
        </w:rPr>
        <w:t xml:space="preserve">Transferable</w:t>
      </w:r>
      <w:r>
        <w:t xml:space="preserve">: Applicable to other basins with minimal modification</w:t>
      </w:r>
    </w:p>
    <w:bookmarkEnd w:id="30"/>
    <w:bookmarkStart w:id="31" w:name="Xed3d869ec2c81a15ac55dbdd3444fc74dc7ec90"/>
    <w:p>
      <w:pPr>
        <w:pStyle w:val="Heading3"/>
      </w:pPr>
      <w:r>
        <w:t xml:space="preserve">4.4.2 Quantitative Well-Seismic Tie Methodology</w:t>
      </w:r>
    </w:p>
    <w:p>
      <w:pPr>
        <w:pStyle w:val="FirstParagraph"/>
      </w:pPr>
      <w:r>
        <w:rPr>
          <w:bCs/>
          <w:b/>
        </w:rPr>
        <w:t xml:space="preserve">Expected Contribution</w:t>
      </w:r>
      <w:r>
        <w:t xml:space="preserve">: Demonstration of quantitative well-tie assessment applicable to vintage, limited-bandwidth seismic.</w:t>
      </w:r>
    </w:p>
    <w:p>
      <w:pPr>
        <w:pStyle w:val="BodyText"/>
      </w:pPr>
      <w:r>
        <w:t xml:space="preserve">This includes:</w:t>
      </w:r>
      <w:r>
        <w:t xml:space="preserve"> </w:t>
      </w:r>
      <w:r>
        <w:t xml:space="preserve">- Correlation coefficient calculation and reporting standards</w:t>
      </w:r>
      <w:r>
        <w:t xml:space="preserve"> </w:t>
      </w:r>
      <w:r>
        <w:t xml:space="preserve">- Quality classification criteria calibrated to vintage data</w:t>
      </w:r>
      <w:r>
        <w:t xml:space="preserve"> </w:t>
      </w:r>
      <w:r>
        <w:t xml:space="preserve">- Documentation of achievable tie quality for similar datasets</w:t>
      </w:r>
      <w:r>
        <w:t xml:space="preserve"> </w:t>
      </w:r>
      <w:r>
        <w:t xml:space="preserve">- Best practices for tie optimization</w:t>
      </w:r>
    </w:p>
    <w:bookmarkEnd w:id="31"/>
    <w:bookmarkStart w:id="32" w:name="automated-fault-characterization"/>
    <w:p>
      <w:pPr>
        <w:pStyle w:val="Heading3"/>
      </w:pPr>
      <w:r>
        <w:t xml:space="preserve">4.4.3 Automated Fault Characterization</w:t>
      </w:r>
    </w:p>
    <w:p>
      <w:pPr>
        <w:pStyle w:val="FirstParagraph"/>
      </w:pPr>
      <w:r>
        <w:rPr>
          <w:bCs/>
          <w:b/>
        </w:rPr>
        <w:t xml:space="preserve">Expected Contribution</w:t>
      </w:r>
      <w:r>
        <w:t xml:space="preserve">: Methodology for automated fault detection and characterization with significance filtering.</w:t>
      </w:r>
    </w:p>
    <w:p>
      <w:pPr>
        <w:pStyle w:val="BodyText"/>
      </w:pPr>
      <w:r>
        <w:t xml:space="preserve">The approach includes:</w:t>
      </w:r>
      <w:r>
        <w:t xml:space="preserve"> </w:t>
      </w:r>
      <w:r>
        <w:t xml:space="preserve">- Gradient-based fault detection from horizon surfaces</w:t>
      </w:r>
      <w:r>
        <w:t xml:space="preserve"> </w:t>
      </w:r>
      <w:r>
        <w:t xml:space="preserve">- Variance attribute analysis for fault imaging</w:t>
      </w:r>
      <w:r>
        <w:t xml:space="preserve"> </w:t>
      </w:r>
      <w:r>
        <w:t xml:space="preserve">- Automated throw and strike calculation</w:t>
      </w:r>
      <w:r>
        <w:t xml:space="preserve"> </w:t>
      </w:r>
      <w:r>
        <w:t xml:space="preserve">- Significance ranking to focus on major faults</w:t>
      </w:r>
    </w:p>
    <w:p>
      <w:pPr>
        <w:pStyle w:val="BodyText"/>
      </w:pPr>
      <w:r>
        <w:rPr>
          <w:bCs/>
          <w:b/>
        </w:rPr>
        <w:t xml:space="preserve">Why this is PhD-worthy</w:t>
      </w:r>
      <w:r>
        <w:t xml:space="preserve">: The combination of multiple detection methods with quantitative characterization and significance filtering represents an advance over simple visual fault picking.</w:t>
      </w:r>
    </w:p>
    <w:bookmarkEnd w:id="32"/>
    <w:bookmarkStart w:id="33" w:name="statistical-dhi-detection"/>
    <w:p>
      <w:pPr>
        <w:pStyle w:val="Heading3"/>
      </w:pPr>
      <w:r>
        <w:t xml:space="preserve">4.4.4 Statistical DHI Detection</w:t>
      </w:r>
    </w:p>
    <w:p>
      <w:pPr>
        <w:pStyle w:val="FirstParagraph"/>
      </w:pPr>
      <w:r>
        <w:rPr>
          <w:bCs/>
          <w:b/>
        </w:rPr>
        <w:t xml:space="preserve">Expected Contribution</w:t>
      </w:r>
      <w:r>
        <w:t xml:space="preserve">: Framework for objective amplitude anomaly detection using statistical thresholds.</w:t>
      </w:r>
    </w:p>
    <w:p>
      <w:pPr>
        <w:pStyle w:val="BodyText"/>
      </w:pPr>
      <w:r>
        <w:t xml:space="preserve">The methodology:</w:t>
      </w:r>
      <w:r>
        <w:t xml:space="preserve"> </w:t>
      </w:r>
      <w:r>
        <w:t xml:space="preserve">- Calculates robust statistics (mean, standard deviation) of amplitude attributes</w:t>
      </w:r>
      <w:r>
        <w:t xml:space="preserve"> </w:t>
      </w:r>
      <w:r>
        <w:t xml:space="preserve">- Applies consistent thresholds (2σ) for anomaly flagging</w:t>
      </w:r>
      <w:r>
        <w:t xml:space="preserve"> </w:t>
      </w:r>
      <w:r>
        <w:t xml:space="preserve">- Maps anomaly distributions spatially</w:t>
      </w:r>
      <w:r>
        <w:t xml:space="preserve"> </w:t>
      </w:r>
      <w:r>
        <w:t xml:space="preserve">- Integrates with structural interpretation</w:t>
      </w:r>
    </w:p>
    <w:p>
      <w:pPr>
        <w:pStyle w:val="BodyText"/>
      </w:pPr>
      <w:r>
        <w:rPr>
          <w:bCs/>
          <w:b/>
        </w:rPr>
        <w:t xml:space="preserve">Advantage over traditional approach</w:t>
      </w:r>
      <w:r>
        <w:t xml:space="preserve">: Removes subjectivity from anomaly identification while maintaining geological context.</w:t>
      </w:r>
    </w:p>
    <w:bookmarkEnd w:id="33"/>
    <w:bookmarkStart w:id="34" w:name="llm-assisted-interpretation-framework"/>
    <w:p>
      <w:pPr>
        <w:pStyle w:val="Heading3"/>
      </w:pPr>
      <w:r>
        <w:t xml:space="preserve">4.4.5 LLM-Assisted Interpretation Framework</w:t>
      </w:r>
    </w:p>
    <w:p>
      <w:pPr>
        <w:pStyle w:val="FirstParagraph"/>
      </w:pPr>
      <w:r>
        <w:rPr>
          <w:bCs/>
          <w:b/>
        </w:rPr>
        <w:t xml:space="preserve">Expected Contribution</w:t>
      </w:r>
      <w:r>
        <w:t xml:space="preserve">: The first seismic interpretation system integrating Large Language Model capabilities for intelligent result analysis and decision guidance.</w:t>
      </w:r>
    </w:p>
    <w:p>
      <w:pPr>
        <w:pStyle w:val="BodyText"/>
      </w:pPr>
      <w:r>
        <w:t xml:space="preserve">This is the most significant methodological contribution of the research. The framework provides capabilities not available in any existing interpretation software:</w:t>
      </w:r>
    </w:p>
    <w:tbl>
      <w:tblPr>
        <w:tblStyle w:val="Table"/>
        <w:tblW w:type="pct" w:w="5000"/>
        <w:tblLook w:firstRow="1" w:lastRow="0" w:firstColumn="0" w:lastColumn="0" w:noHBand="0" w:noVBand="0" w:val="0020"/>
      </w:tblPr>
      <w:tblGrid>
        <w:gridCol w:w="2210"/>
        <w:gridCol w:w="2394"/>
        <w:gridCol w:w="3315"/>
      </w:tblGrid>
      <w:tr>
        <w:trPr>
          <w:tblHeader w:val="true"/>
        </w:trPr>
        <w:tc>
          <w:tcPr/>
          <w:p>
            <w:pPr>
              <w:pStyle w:val="Compact"/>
              <w:jc w:val="left"/>
            </w:pPr>
            <w:r>
              <w:t xml:space="preserve">Capability</w:t>
            </w:r>
          </w:p>
        </w:tc>
        <w:tc>
          <w:tcPr/>
          <w:p>
            <w:pPr>
              <w:pStyle w:val="Compact"/>
              <w:jc w:val="left"/>
            </w:pPr>
            <w:r>
              <w:t xml:space="preserve">Description</w:t>
            </w:r>
          </w:p>
        </w:tc>
        <w:tc>
          <w:tcPr/>
          <w:p>
            <w:pPr>
              <w:pStyle w:val="Compact"/>
              <w:jc w:val="left"/>
            </w:pPr>
            <w:r>
              <w:t xml:space="preserve">Innovation Level</w:t>
            </w:r>
          </w:p>
        </w:tc>
      </w:tr>
      <w:tr>
        <w:tc>
          <w:tcPr/>
          <w:p>
            <w:pPr>
              <w:pStyle w:val="Compact"/>
              <w:jc w:val="left"/>
            </w:pPr>
            <w:r>
              <w:rPr>
                <w:bCs/>
                <w:b/>
              </w:rPr>
              <w:t xml:space="preserve">Multimodal Analysis</w:t>
            </w:r>
          </w:p>
        </w:tc>
        <w:tc>
          <w:tcPr/>
          <w:p>
            <w:pPr>
              <w:pStyle w:val="Compact"/>
              <w:jc w:val="left"/>
            </w:pPr>
            <w:r>
              <w:t xml:space="preserve">LLM interprets both numerical results AND visual outputs (maps, sections)</w:t>
            </w:r>
          </w:p>
        </w:tc>
        <w:tc>
          <w:tcPr/>
          <w:p>
            <w:pPr>
              <w:pStyle w:val="Compact"/>
              <w:jc w:val="left"/>
            </w:pPr>
            <w:r>
              <w:t xml:space="preserve">First in geoscience</w:t>
            </w:r>
          </w:p>
        </w:tc>
      </w:tr>
      <w:tr>
        <w:tc>
          <w:tcPr/>
          <w:p>
            <w:pPr>
              <w:pStyle w:val="Compact"/>
              <w:jc w:val="left"/>
            </w:pPr>
            <w:r>
              <w:rPr>
                <w:bCs/>
                <w:b/>
              </w:rPr>
              <w:t xml:space="preserve">Contextual Understanding</w:t>
            </w:r>
          </w:p>
        </w:tc>
        <w:tc>
          <w:tcPr/>
          <w:p>
            <w:pPr>
              <w:pStyle w:val="Compact"/>
              <w:jc w:val="left"/>
            </w:pPr>
            <w:r>
              <w:t xml:space="preserve">Maintains geological context across interpretation steps</w:t>
            </w:r>
          </w:p>
        </w:tc>
        <w:tc>
          <w:tcPr/>
          <w:p>
            <w:pPr>
              <w:pStyle w:val="Compact"/>
              <w:jc w:val="left"/>
            </w:pPr>
            <w:r>
              <w:t xml:space="preserve">Novel application</w:t>
            </w:r>
          </w:p>
        </w:tc>
      </w:tr>
      <w:tr>
        <w:tc>
          <w:tcPr/>
          <w:p>
            <w:pPr>
              <w:pStyle w:val="Compact"/>
              <w:jc w:val="left"/>
            </w:pPr>
            <w:r>
              <w:rPr>
                <w:bCs/>
                <w:b/>
              </w:rPr>
              <w:t xml:space="preserve">Decision Guidance</w:t>
            </w:r>
          </w:p>
        </w:tc>
        <w:tc>
          <w:tcPr/>
          <w:p>
            <w:pPr>
              <w:pStyle w:val="Compact"/>
              <w:jc w:val="left"/>
            </w:pPr>
            <w:r>
              <w:t xml:space="preserve">Recommends next steps based on current results and objectives</w:t>
            </w:r>
          </w:p>
        </w:tc>
        <w:tc>
          <w:tcPr/>
          <w:p>
            <w:pPr>
              <w:pStyle w:val="Compact"/>
              <w:jc w:val="left"/>
            </w:pPr>
            <w:r>
              <w:t xml:space="preserve">First in seismic</w:t>
            </w:r>
          </w:p>
        </w:tc>
      </w:tr>
      <w:tr>
        <w:tc>
          <w:tcPr/>
          <w:p>
            <w:pPr>
              <w:pStyle w:val="Compact"/>
              <w:jc w:val="left"/>
            </w:pPr>
            <w:r>
              <w:rPr>
                <w:bCs/>
                <w:b/>
              </w:rPr>
              <w:t xml:space="preserve">Natural Language Interface</w:t>
            </w:r>
          </w:p>
        </w:tc>
        <w:tc>
          <w:tcPr/>
          <w:p>
            <w:pPr>
              <w:pStyle w:val="Compact"/>
              <w:jc w:val="left"/>
            </w:pPr>
            <w:r>
              <w:t xml:space="preserve">Users interact through conversation, not menus</w:t>
            </w:r>
          </w:p>
        </w:tc>
        <w:tc>
          <w:tcPr/>
          <w:p>
            <w:pPr>
              <w:pStyle w:val="Compact"/>
              <w:jc w:val="left"/>
            </w:pPr>
            <w:r>
              <w:t xml:space="preserve">Novel for interpretation</w:t>
            </w:r>
          </w:p>
        </w:tc>
      </w:tr>
      <w:tr>
        <w:tc>
          <w:tcPr/>
          <w:p>
            <w:pPr>
              <w:pStyle w:val="Compact"/>
              <w:jc w:val="left"/>
            </w:pPr>
            <w:r>
              <w:rPr>
                <w:bCs/>
                <w:b/>
              </w:rPr>
              <w:t xml:space="preserve">Automated Documentation</w:t>
            </w:r>
          </w:p>
        </w:tc>
        <w:tc>
          <w:tcPr/>
          <w:p>
            <w:pPr>
              <w:pStyle w:val="Compact"/>
              <w:jc w:val="left"/>
            </w:pPr>
            <w:r>
              <w:t xml:space="preserve">Generates reports, summaries, and rationale automatically</w:t>
            </w:r>
          </w:p>
        </w:tc>
        <w:tc>
          <w:tcPr/>
          <w:p>
            <w:pPr>
              <w:pStyle w:val="Compact"/>
              <w:jc w:val="left"/>
            </w:pPr>
            <w:r>
              <w:t xml:space="preserve">Significant advance</w:t>
            </w:r>
          </w:p>
        </w:tc>
      </w:tr>
      <w:tr>
        <w:tc>
          <w:tcPr/>
          <w:p>
            <w:pPr>
              <w:pStyle w:val="Compact"/>
              <w:jc w:val="left"/>
            </w:pPr>
            <w:r>
              <w:rPr>
                <w:bCs/>
                <w:b/>
              </w:rPr>
              <w:t xml:space="preserve">Knowledge Integration</w:t>
            </w:r>
          </w:p>
        </w:tc>
        <w:tc>
          <w:tcPr/>
          <w:p>
            <w:pPr>
              <w:pStyle w:val="Compact"/>
              <w:jc w:val="left"/>
            </w:pPr>
            <w:r>
              <w:t xml:space="preserve">Combines domain knowledge with real-time analysis</w:t>
            </w:r>
          </w:p>
        </w:tc>
        <w:tc>
          <w:tcPr/>
          <w:p>
            <w:pPr>
              <w:pStyle w:val="Compact"/>
              <w:jc w:val="left"/>
            </w:pPr>
            <w:r>
              <w:t xml:space="preserve">Novel architecture</w:t>
            </w:r>
          </w:p>
        </w:tc>
      </w:tr>
    </w:tbl>
    <w:p>
      <w:pPr>
        <w:pStyle w:val="BodyText"/>
      </w:pPr>
      <w:r>
        <w:rPr>
          <w:bCs/>
          <w:b/>
        </w:rPr>
        <w:t xml:space="preserve">Why this is transformative</w:t>
      </w:r>
      <w:r>
        <w:t xml:space="preserve">:</w:t>
      </w:r>
    </w:p>
    <w:p>
      <w:pPr>
        <w:numPr>
          <w:ilvl w:val="0"/>
          <w:numId w:val="1015"/>
        </w:numPr>
      </w:pPr>
      <w:r>
        <w:rPr>
          <w:bCs/>
          <w:b/>
        </w:rPr>
        <w:t xml:space="preserve">Democratization of expertise</w:t>
      </w:r>
      <w:r>
        <w:t xml:space="preserve">: The LLM provides guidance equivalent to having an expert consultant available throughout the interpretation process, making advanced interpretation accessible to less experienced interpreters.</w:t>
      </w:r>
    </w:p>
    <w:p>
      <w:pPr>
        <w:numPr>
          <w:ilvl w:val="0"/>
          <w:numId w:val="1015"/>
        </w:numPr>
      </w:pPr>
      <w:r>
        <w:rPr>
          <w:bCs/>
          <w:b/>
        </w:rPr>
        <w:t xml:space="preserve">Consistency and reproducibility</w:t>
      </w:r>
      <w:r>
        <w:t xml:space="preserve">: Unlike human interpreters who may vary in approach, the LLM applies consistent principles while adapting to specific data characteristics.</w:t>
      </w:r>
    </w:p>
    <w:p>
      <w:pPr>
        <w:numPr>
          <w:ilvl w:val="0"/>
          <w:numId w:val="1015"/>
        </w:numPr>
      </w:pPr>
      <w:r>
        <w:rPr>
          <w:bCs/>
          <w:b/>
        </w:rPr>
        <w:t xml:space="preserve">Efficiency</w:t>
      </w:r>
      <w:r>
        <w:t xml:space="preserve">: Automated analysis of results and generation of reports reduces interpretation cycle time significantly.</w:t>
      </w:r>
    </w:p>
    <w:p>
      <w:pPr>
        <w:numPr>
          <w:ilvl w:val="0"/>
          <w:numId w:val="1015"/>
        </w:numPr>
      </w:pPr>
      <w:r>
        <w:rPr>
          <w:bCs/>
          <w:b/>
        </w:rPr>
        <w:t xml:space="preserve">Quality assurance</w:t>
      </w:r>
      <w:r>
        <w:t xml:space="preserve">: The LLM can identify inconsistencies, anomalies, or potential errors that might be overlooked in manual review.</w:t>
      </w:r>
    </w:p>
    <w:p>
      <w:pPr>
        <w:numPr>
          <w:ilvl w:val="0"/>
          <w:numId w:val="1015"/>
        </w:numPr>
      </w:pPr>
      <w:r>
        <w:rPr>
          <w:bCs/>
          <w:b/>
        </w:rPr>
        <w:t xml:space="preserve">Knowledge preservation</w:t>
      </w:r>
      <w:r>
        <w:t xml:space="preserve">: Interpretation rationale is automatically documented, preserving institutional knowledge.</w:t>
      </w:r>
    </w:p>
    <w:p>
      <w:pPr>
        <w:pStyle w:val="FirstParagraph"/>
      </w:pPr>
      <w:r>
        <w:rPr>
          <w:bCs/>
          <w:b/>
        </w:rPr>
        <w:t xml:space="preserve">Comparison with existing software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Commercial Software</w:t>
            </w:r>
          </w:p>
        </w:tc>
        <w:tc>
          <w:tcPr/>
          <w:p>
            <w:pPr>
              <w:pStyle w:val="Compact"/>
              <w:jc w:val="left"/>
            </w:pPr>
            <w:r>
              <w:t xml:space="preserve">Open Source</w:t>
            </w:r>
          </w:p>
        </w:tc>
        <w:tc>
          <w:tcPr/>
          <w:p>
            <w:pPr>
              <w:pStyle w:val="Compact"/>
              <w:jc w:val="left"/>
            </w:pPr>
            <w:r>
              <w:t xml:space="preserve">This Research</w:t>
            </w:r>
          </w:p>
        </w:tc>
      </w:tr>
      <w:tr>
        <w:tc>
          <w:tcPr/>
          <w:p>
            <w:pPr>
              <w:pStyle w:val="Compact"/>
              <w:jc w:val="left"/>
            </w:pPr>
            <w:r>
              <w:t xml:space="preserve">Seismic display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Horizon tracking</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Yes</w:t>
            </w:r>
          </w:p>
        </w:tc>
      </w:tr>
      <w:tr>
        <w:tc>
          <w:tcPr/>
          <w:p>
            <w:pPr>
              <w:pStyle w:val="Compact"/>
              <w:jc w:val="left"/>
            </w:pPr>
            <w:r>
              <w:t xml:space="preserve">Attribute analysis</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Yes</w:t>
            </w:r>
          </w:p>
        </w:tc>
      </w:tr>
      <w:tr>
        <w:tc>
          <w:tcPr/>
          <w:p>
            <w:pPr>
              <w:pStyle w:val="Compact"/>
              <w:jc w:val="left"/>
            </w:pPr>
            <w:r>
              <w:t xml:space="preserve">Fault detection</w:t>
            </w:r>
          </w:p>
        </w:tc>
        <w:tc>
          <w:tcPr/>
          <w:p>
            <w:pPr>
              <w:pStyle w:val="Compact"/>
              <w:jc w:val="left"/>
            </w:pPr>
            <w:r>
              <w:t xml:space="preserve">Manual/Auto</w:t>
            </w:r>
          </w:p>
        </w:tc>
        <w:tc>
          <w:tcPr/>
          <w:p>
            <w:pPr>
              <w:pStyle w:val="Compact"/>
              <w:jc w:val="left"/>
            </w:pPr>
            <w:r>
              <w:t xml:space="preserve">Limited</w:t>
            </w:r>
          </w:p>
        </w:tc>
        <w:tc>
          <w:tcPr/>
          <w:p>
            <w:pPr>
              <w:pStyle w:val="Compact"/>
              <w:jc w:val="left"/>
            </w:pPr>
            <w:r>
              <w:t xml:space="preserve">Automated</w:t>
            </w:r>
          </w:p>
        </w:tc>
      </w:tr>
      <w:tr>
        <w:tc>
          <w:tcPr/>
          <w:p>
            <w:pPr>
              <w:pStyle w:val="Compact"/>
              <w:jc w:val="left"/>
            </w:pPr>
            <w:r>
              <w:t xml:space="preserve">Result interpretation</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LLM-powered</w:t>
            </w:r>
          </w:p>
        </w:tc>
      </w:tr>
      <w:tr>
        <w:tc>
          <w:tcPr/>
          <w:p>
            <w:pPr>
              <w:pStyle w:val="Compact"/>
              <w:jc w:val="left"/>
            </w:pPr>
            <w:r>
              <w:t xml:space="preserve">Visual analysis</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LLM-powered</w:t>
            </w:r>
          </w:p>
        </w:tc>
      </w:tr>
      <w:tr>
        <w:tc>
          <w:tcPr/>
          <w:p>
            <w:pPr>
              <w:pStyle w:val="Compact"/>
              <w:jc w:val="left"/>
            </w:pPr>
            <w:r>
              <w:t xml:space="preserve">Decision guidance</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LLM-powered</w:t>
            </w:r>
          </w:p>
        </w:tc>
      </w:tr>
      <w:tr>
        <w:tc>
          <w:tcPr/>
          <w:p>
            <w:pPr>
              <w:pStyle w:val="Compact"/>
              <w:jc w:val="left"/>
            </w:pPr>
            <w:r>
              <w:t xml:space="preserve">Natural language</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r>
      <w:tr>
        <w:tc>
          <w:tcPr/>
          <w:p>
            <w:pPr>
              <w:pStyle w:val="Compact"/>
              <w:jc w:val="left"/>
            </w:pPr>
            <w:r>
              <w:t xml:space="preserve">Auto-documentation</w:t>
            </w:r>
          </w:p>
        </w:tc>
        <w:tc>
          <w:tcPr/>
          <w:p>
            <w:pPr>
              <w:pStyle w:val="Compact"/>
              <w:jc w:val="left"/>
            </w:pPr>
            <w:r>
              <w:t xml:space="preserve">Limited</w:t>
            </w:r>
          </w:p>
        </w:tc>
        <w:tc>
          <w:tcPr/>
          <w:p>
            <w:pPr>
              <w:pStyle w:val="Compact"/>
              <w:jc w:val="left"/>
            </w:pPr>
            <w:r>
              <w:t xml:space="preserve">No</w:t>
            </w:r>
          </w:p>
        </w:tc>
        <w:tc>
          <w:tcPr/>
          <w:p>
            <w:pPr>
              <w:pStyle w:val="Compact"/>
              <w:jc w:val="left"/>
            </w:pPr>
            <w:r>
              <w:rPr>
                <w:bCs/>
                <w:b/>
              </w:rPr>
              <w:t xml:space="preserve">LLM-powered</w:t>
            </w:r>
          </w:p>
        </w:tc>
      </w:tr>
    </w:tbl>
    <w:p>
      <w:pPr>
        <w:pStyle w:val="BodyText"/>
      </w:pPr>
      <w:r>
        <w:t xml:space="preserve">This framework represents a paradigm shift from passive interpretation tools to active interpretation assistants, positioning this research at the forefront of AI-augmented geoscience.</w:t>
      </w:r>
    </w:p>
    <w:bookmarkEnd w:id="34"/>
    <w:bookmarkEnd w:id="35"/>
    <w:bookmarkStart w:id="39" w:name="Xbc79a0f7f3951d95e6ccff378366897311fed15"/>
    <w:p>
      <w:pPr>
        <w:pStyle w:val="Heading2"/>
      </w:pPr>
      <w:r>
        <w:t xml:space="preserve">4.5 Contributions to Nigerian Petroleum Geology</w:t>
      </w:r>
    </w:p>
    <w:bookmarkStart w:id="36" w:name="basin-knowledge-advancement"/>
    <w:p>
      <w:pPr>
        <w:pStyle w:val="Heading3"/>
      </w:pPr>
      <w:r>
        <w:t xml:space="preserve">4.5.1 Basin Knowledge Advancement</w:t>
      </w:r>
    </w:p>
    <w:p>
      <w:pPr>
        <w:pStyle w:val="FirstParagraph"/>
      </w:pPr>
      <w:r>
        <w:t xml:space="preserve">This research will:</w:t>
      </w:r>
      <w:r>
        <w:t xml:space="preserve"> </w:t>
      </w:r>
      <w:r>
        <w:t xml:space="preserve">- Provide the most comprehensive interpretation of Bornu Chad Basin 3D seismic data</w:t>
      </w:r>
      <w:r>
        <w:t xml:space="preserve"> </w:t>
      </w:r>
      <w:r>
        <w:t xml:space="preserve">- Establish relationships between structure, stratigraphy, and amplitude</w:t>
      </w:r>
      <w:r>
        <w:t xml:space="preserve"> </w:t>
      </w:r>
      <w:r>
        <w:t xml:space="preserve">- Document the petroleum system characteristics with quantitative data</w:t>
      </w:r>
      <w:r>
        <w:t xml:space="preserve"> </w:t>
      </w:r>
      <w:r>
        <w:t xml:space="preserve">- Create baseline datasets for future research</w:t>
      </w:r>
    </w:p>
    <w:bookmarkEnd w:id="36"/>
    <w:bookmarkStart w:id="37" w:name="exploration-guidance"/>
    <w:p>
      <w:pPr>
        <w:pStyle w:val="Heading3"/>
      </w:pPr>
      <w:r>
        <w:t xml:space="preserve">4.5.2 Exploration Guidance</w:t>
      </w:r>
    </w:p>
    <w:p>
      <w:pPr>
        <w:pStyle w:val="FirstParagraph"/>
      </w:pPr>
      <w:r>
        <w:t xml:space="preserve">The practical outputs will:</w:t>
      </w:r>
      <w:r>
        <w:t xml:space="preserve"> </w:t>
      </w:r>
      <w:r>
        <w:t xml:space="preserve">- Identify specific drilling locations</w:t>
      </w:r>
      <w:r>
        <w:t xml:space="preserve"> </w:t>
      </w:r>
      <w:r>
        <w:t xml:space="preserve">- Reduce exploration risk through systematic analysis</w:t>
      </w:r>
      <w:r>
        <w:t xml:space="preserve"> </w:t>
      </w:r>
      <w:r>
        <w:t xml:space="preserve">- Provide resource estimates for economic evaluation</w:t>
      </w:r>
      <w:r>
        <w:t xml:space="preserve"> </w:t>
      </w:r>
      <w:r>
        <w:t xml:space="preserve">- Guide future seismic acquisition planning</w:t>
      </w:r>
    </w:p>
    <w:bookmarkEnd w:id="37"/>
    <w:bookmarkStart w:id="38" w:name="capacity-building"/>
    <w:p>
      <w:pPr>
        <w:pStyle w:val="Heading3"/>
      </w:pPr>
      <w:r>
        <w:t xml:space="preserve">4.5.3 Capacity Building</w:t>
      </w:r>
    </w:p>
    <w:p>
      <w:pPr>
        <w:pStyle w:val="FirstParagraph"/>
      </w:pPr>
      <w:r>
        <w:t xml:space="preserve">The research will:</w:t>
      </w:r>
      <w:r>
        <w:t xml:space="preserve"> </w:t>
      </w:r>
      <w:r>
        <w:t xml:space="preserve">- Demonstrate modern interpretation methods applicable to Nigerian basins</w:t>
      </w:r>
      <w:r>
        <w:t xml:space="preserve"> </w:t>
      </w:r>
      <w:r>
        <w:t xml:space="preserve">- Provide training materials and documented workflows</w:t>
      </w:r>
      <w:r>
        <w:t xml:space="preserve"> </w:t>
      </w:r>
      <w:r>
        <w:t xml:space="preserve">- Establish standards for quantitative interpretation</w:t>
      </w:r>
      <w:r>
        <w:t xml:space="preserve"> </w:t>
      </w:r>
      <w:r>
        <w:t xml:space="preserve">- Create reference products for comparison studies</w:t>
      </w:r>
    </w:p>
    <w:bookmarkEnd w:id="38"/>
    <w:bookmarkEnd w:id="39"/>
    <w:bookmarkStart w:id="40" w:name="summary-of-expected-deliverables"/>
    <w:p>
      <w:pPr>
        <w:pStyle w:val="Heading2"/>
      </w:pPr>
      <w:r>
        <w:t xml:space="preserve">4.6 Summary of Expected Deliverables</w:t>
      </w:r>
    </w:p>
    <w:tbl>
      <w:tblPr>
        <w:tblStyle w:val="Table"/>
        <w:tblW w:type="pct" w:w="5000"/>
        <w:tblLook w:firstRow="1" w:lastRow="0" w:firstColumn="0" w:lastColumn="0" w:noHBand="0" w:noVBand="0" w:val="0020"/>
      </w:tblPr>
      <w:tblGrid>
        <w:gridCol w:w="2554"/>
        <w:gridCol w:w="3321"/>
        <w:gridCol w:w="2043"/>
      </w:tblGrid>
      <w:tr>
        <w:trPr>
          <w:tblHeader w:val="true"/>
        </w:trPr>
        <w:tc>
          <w:tcPr/>
          <w:p>
            <w:pPr>
              <w:pStyle w:val="Compact"/>
              <w:jc w:val="left"/>
            </w:pPr>
            <w:r>
              <w:t xml:space="preserve">Category</w:t>
            </w:r>
          </w:p>
        </w:tc>
        <w:tc>
          <w:tcPr/>
          <w:p>
            <w:pPr>
              <w:pStyle w:val="Compact"/>
              <w:jc w:val="left"/>
            </w:pPr>
            <w:r>
              <w:t xml:space="preserve">Deliverable</w:t>
            </w:r>
          </w:p>
        </w:tc>
        <w:tc>
          <w:tcPr/>
          <w:p>
            <w:pPr>
              <w:pStyle w:val="Compact"/>
              <w:jc w:val="left"/>
            </w:pPr>
            <w:r>
              <w:t xml:space="preserve">Format</w:t>
            </w:r>
          </w:p>
        </w:tc>
      </w:tr>
      <w:tr>
        <w:tc>
          <w:tcPr/>
          <w:p>
            <w:pPr>
              <w:pStyle w:val="Compact"/>
              <w:jc w:val="left"/>
            </w:pPr>
            <w:r>
              <w:rPr>
                <w:bCs/>
                <w:b/>
              </w:rPr>
              <w:t xml:space="preserve">Maps</w:t>
            </w:r>
          </w:p>
        </w:tc>
        <w:tc>
          <w:tcPr/>
          <w:p>
            <w:pPr>
              <w:pStyle w:val="Compact"/>
              <w:jc w:val="left"/>
            </w:pPr>
            <w:r>
              <w:t xml:space="preserve">Time-structure maps (4 horizons)</w:t>
            </w:r>
          </w:p>
        </w:tc>
        <w:tc>
          <w:tcPr/>
          <w:p>
            <w:pPr>
              <w:pStyle w:val="Compact"/>
              <w:jc w:val="left"/>
            </w:pPr>
            <w:r>
              <w:t xml:space="preserve">Digital grids, figures</w:t>
            </w:r>
          </w:p>
        </w:tc>
      </w:tr>
      <w:tr>
        <w:tc>
          <w:tcPr/>
          <w:p>
            <w:pPr>
              <w:pStyle w:val="Compact"/>
            </w:pPr>
          </w:p>
        </w:tc>
        <w:tc>
          <w:tcPr/>
          <w:p>
            <w:pPr>
              <w:pStyle w:val="Compact"/>
              <w:jc w:val="left"/>
            </w:pPr>
            <w:r>
              <w:t xml:space="preserve">Amplitude attribute maps (4 horizons)</w:t>
            </w:r>
          </w:p>
        </w:tc>
        <w:tc>
          <w:tcPr/>
          <w:p>
            <w:pPr>
              <w:pStyle w:val="Compact"/>
              <w:jc w:val="left"/>
            </w:pPr>
            <w:r>
              <w:t xml:space="preserve">Digital grids, figures</w:t>
            </w:r>
          </w:p>
        </w:tc>
      </w:tr>
      <w:tr>
        <w:tc>
          <w:tcPr/>
          <w:p>
            <w:pPr>
              <w:pStyle w:val="Compact"/>
            </w:pPr>
          </w:p>
        </w:tc>
        <w:tc>
          <w:tcPr/>
          <w:p>
            <w:pPr>
              <w:pStyle w:val="Compact"/>
              <w:jc w:val="left"/>
            </w:pPr>
            <w:r>
              <w:t xml:space="preserve">Fault interpretation map</w:t>
            </w:r>
          </w:p>
        </w:tc>
        <w:tc>
          <w:tcPr/>
          <w:p>
            <w:pPr>
              <w:pStyle w:val="Compact"/>
              <w:jc w:val="left"/>
            </w:pPr>
            <w:r>
              <w:t xml:space="preserve">Digital polylines, figures</w:t>
            </w:r>
          </w:p>
        </w:tc>
      </w:tr>
      <w:tr>
        <w:tc>
          <w:tcPr/>
          <w:p>
            <w:pPr>
              <w:pStyle w:val="Compact"/>
            </w:pPr>
          </w:p>
        </w:tc>
        <w:tc>
          <w:tcPr/>
          <w:p>
            <w:pPr>
              <w:pStyle w:val="Compact"/>
              <w:jc w:val="left"/>
            </w:pPr>
            <w:r>
              <w:t xml:space="preserve">Variance/discontinuity maps</w:t>
            </w:r>
          </w:p>
        </w:tc>
        <w:tc>
          <w:tcPr/>
          <w:p>
            <w:pPr>
              <w:pStyle w:val="Compact"/>
              <w:jc w:val="left"/>
            </w:pPr>
            <w:r>
              <w:t xml:space="preserve">Digital grids, figures</w:t>
            </w:r>
          </w:p>
        </w:tc>
      </w:tr>
      <w:tr>
        <w:tc>
          <w:tcPr/>
          <w:p>
            <w:pPr>
              <w:pStyle w:val="Compact"/>
              <w:jc w:val="left"/>
            </w:pPr>
            <w:r>
              <w:rPr>
                <w:bCs/>
                <w:b/>
              </w:rPr>
              <w:t xml:space="preserve">Data</w:t>
            </w:r>
          </w:p>
        </w:tc>
        <w:tc>
          <w:tcPr/>
          <w:p>
            <w:pPr>
              <w:pStyle w:val="Compact"/>
              <w:jc w:val="left"/>
            </w:pPr>
            <w:r>
              <w:t xml:space="preserve">Well-tie displays with metrics</w:t>
            </w:r>
          </w:p>
        </w:tc>
        <w:tc>
          <w:tcPr/>
          <w:p>
            <w:pPr>
              <w:pStyle w:val="Compact"/>
              <w:jc w:val="left"/>
            </w:pPr>
            <w:r>
              <w:t xml:space="preserve">Figures, tables</w:t>
            </w:r>
          </w:p>
        </w:tc>
      </w:tr>
      <w:tr>
        <w:tc>
          <w:tcPr/>
          <w:p>
            <w:pPr>
              <w:pStyle w:val="Compact"/>
            </w:pPr>
          </w:p>
        </w:tc>
        <w:tc>
          <w:tcPr/>
          <w:p>
            <w:pPr>
              <w:pStyle w:val="Compact"/>
              <w:jc w:val="left"/>
            </w:pPr>
            <w:r>
              <w:t xml:space="preserve">Petrophysical summaries</w:t>
            </w:r>
          </w:p>
        </w:tc>
        <w:tc>
          <w:tcPr/>
          <w:p>
            <w:pPr>
              <w:pStyle w:val="Compact"/>
              <w:jc w:val="left"/>
            </w:pPr>
            <w:r>
              <w:t xml:space="preserve">Tables, cross-plots</w:t>
            </w:r>
          </w:p>
        </w:tc>
      </w:tr>
      <w:tr>
        <w:tc>
          <w:tcPr/>
          <w:p>
            <w:pPr>
              <w:pStyle w:val="Compact"/>
            </w:pPr>
          </w:p>
        </w:tc>
        <w:tc>
          <w:tcPr/>
          <w:p>
            <w:pPr>
              <w:pStyle w:val="Compact"/>
              <w:jc w:val="left"/>
            </w:pPr>
            <w:r>
              <w:t xml:space="preserve">Fault characterization tables</w:t>
            </w:r>
          </w:p>
        </w:tc>
        <w:tc>
          <w:tcPr/>
          <w:p>
            <w:pPr>
              <w:pStyle w:val="Compact"/>
              <w:jc w:val="left"/>
            </w:pPr>
            <w:r>
              <w:t xml:space="preserve">Spreadsheets</w:t>
            </w:r>
          </w:p>
        </w:tc>
      </w:tr>
      <w:tr>
        <w:tc>
          <w:tcPr/>
          <w:p>
            <w:pPr>
              <w:pStyle w:val="Compact"/>
            </w:pPr>
          </w:p>
        </w:tc>
        <w:tc>
          <w:tcPr/>
          <w:p>
            <w:pPr>
              <w:pStyle w:val="Compact"/>
              <w:jc w:val="left"/>
            </w:pPr>
            <w:r>
              <w:t xml:space="preserve">Prospect parameters</w:t>
            </w:r>
          </w:p>
        </w:tc>
        <w:tc>
          <w:tcPr/>
          <w:p>
            <w:pPr>
              <w:pStyle w:val="Compact"/>
              <w:jc w:val="left"/>
            </w:pPr>
            <w:r>
              <w:t xml:space="preserve">Tables</w:t>
            </w:r>
          </w:p>
        </w:tc>
      </w:tr>
      <w:tr>
        <w:tc>
          <w:tcPr/>
          <w:p>
            <w:pPr>
              <w:pStyle w:val="Compact"/>
              <w:jc w:val="left"/>
            </w:pPr>
            <w:r>
              <w:rPr>
                <w:bCs/>
                <w:b/>
              </w:rPr>
              <w:t xml:space="preserve">Analysis</w:t>
            </w:r>
          </w:p>
        </w:tc>
        <w:tc>
          <w:tcPr/>
          <w:p>
            <w:pPr>
              <w:pStyle w:val="Compact"/>
              <w:jc w:val="left"/>
            </w:pPr>
            <w:r>
              <w:t xml:space="preserve">Resource estimates (P10/P50/P90)</w:t>
            </w:r>
          </w:p>
        </w:tc>
        <w:tc>
          <w:tcPr/>
          <w:p>
            <w:pPr>
              <w:pStyle w:val="Compact"/>
              <w:jc w:val="left"/>
            </w:pPr>
            <w:r>
              <w:t xml:space="preserve">Tables, distributions</w:t>
            </w:r>
          </w:p>
        </w:tc>
      </w:tr>
      <w:tr>
        <w:tc>
          <w:tcPr/>
          <w:p>
            <w:pPr>
              <w:pStyle w:val="Compact"/>
            </w:pPr>
          </w:p>
        </w:tc>
        <w:tc>
          <w:tcPr/>
          <w:p>
            <w:pPr>
              <w:pStyle w:val="Compact"/>
              <w:jc w:val="left"/>
            </w:pPr>
            <w:r>
              <w:t xml:space="preserve">Risk assessments</w:t>
            </w:r>
          </w:p>
        </w:tc>
        <w:tc>
          <w:tcPr/>
          <w:p>
            <w:pPr>
              <w:pStyle w:val="Compact"/>
              <w:jc w:val="left"/>
            </w:pPr>
            <w:r>
              <w:t xml:space="preserve">Matrices</w:t>
            </w:r>
          </w:p>
        </w:tc>
      </w:tr>
      <w:tr>
        <w:tc>
          <w:tcPr/>
          <w:p>
            <w:pPr>
              <w:pStyle w:val="Compact"/>
            </w:pPr>
          </w:p>
        </w:tc>
        <w:tc>
          <w:tcPr/>
          <w:p>
            <w:pPr>
              <w:pStyle w:val="Compact"/>
              <w:jc w:val="left"/>
            </w:pPr>
            <w:r>
              <w:t xml:space="preserve">Drilling recommendations</w:t>
            </w:r>
          </w:p>
        </w:tc>
        <w:tc>
          <w:tcPr/>
          <w:p>
            <w:pPr>
              <w:pStyle w:val="Compact"/>
              <w:jc w:val="left"/>
            </w:pPr>
            <w:r>
              <w:t xml:space="preserve">Report</w:t>
            </w:r>
          </w:p>
        </w:tc>
      </w:tr>
      <w:tr>
        <w:tc>
          <w:tcPr/>
          <w:p>
            <w:pPr>
              <w:pStyle w:val="Compact"/>
              <w:jc w:val="left"/>
            </w:pPr>
            <w:r>
              <w:rPr>
                <w:bCs/>
                <w:b/>
              </w:rPr>
              <w:t xml:space="preserve">Documentation</w:t>
            </w:r>
          </w:p>
        </w:tc>
        <w:tc>
          <w:tcPr/>
          <w:p>
            <w:pPr>
              <w:pStyle w:val="Compact"/>
              <w:jc w:val="left"/>
            </w:pPr>
            <w:r>
              <w:t xml:space="preserve">Methodology workflows</w:t>
            </w:r>
          </w:p>
        </w:tc>
        <w:tc>
          <w:tcPr/>
          <w:p>
            <w:pPr>
              <w:pStyle w:val="Compact"/>
              <w:jc w:val="left"/>
            </w:pPr>
            <w:r>
              <w:t xml:space="preserve">Flowcharts, code</w:t>
            </w:r>
          </w:p>
        </w:tc>
      </w:tr>
      <w:tr>
        <w:tc>
          <w:tcPr/>
          <w:p>
            <w:pPr>
              <w:pStyle w:val="Compact"/>
            </w:pPr>
          </w:p>
        </w:tc>
        <w:tc>
          <w:tcPr/>
          <w:p>
            <w:pPr>
              <w:pStyle w:val="Compact"/>
              <w:jc w:val="left"/>
            </w:pPr>
            <w:r>
              <w:t xml:space="preserve">Quality assessments</w:t>
            </w:r>
          </w:p>
        </w:tc>
        <w:tc>
          <w:tcPr/>
          <w:p>
            <w:pPr>
              <w:pStyle w:val="Compact"/>
              <w:jc w:val="left"/>
            </w:pPr>
            <w:r>
              <w:t xml:space="preserve">Reports</w:t>
            </w:r>
          </w:p>
        </w:tc>
      </w:tr>
      <w:tr>
        <w:tc>
          <w:tcPr/>
          <w:p>
            <w:pPr>
              <w:pStyle w:val="Compact"/>
            </w:pPr>
          </w:p>
        </w:tc>
        <w:tc>
          <w:tcPr/>
          <w:p>
            <w:pPr>
              <w:pStyle w:val="Compact"/>
              <w:jc w:val="left"/>
            </w:pPr>
            <w:r>
              <w:t xml:space="preserve">Interpretation rationale</w:t>
            </w:r>
          </w:p>
        </w:tc>
        <w:tc>
          <w:tcPr/>
          <w:p>
            <w:pPr>
              <w:pStyle w:val="Compact"/>
              <w:jc w:val="left"/>
            </w:pPr>
            <w:r>
              <w:t xml:space="preserve">Narrative</w:t>
            </w:r>
          </w:p>
        </w:tc>
      </w:tr>
      <w:tr>
        <w:tc>
          <w:tcPr/>
          <w:p>
            <w:pPr>
              <w:pStyle w:val="Compact"/>
              <w:jc w:val="left"/>
            </w:pPr>
            <w:r>
              <w:rPr>
                <w:bCs/>
                <w:b/>
              </w:rPr>
              <w:t xml:space="preserve">Software</w:t>
            </w:r>
          </w:p>
        </w:tc>
        <w:tc>
          <w:tcPr/>
          <w:p>
            <w:pPr>
              <w:pStyle w:val="Compact"/>
              <w:jc w:val="left"/>
            </w:pPr>
            <w:r>
              <w:t xml:space="preserve">LLM-assisted interpretation GUI</w:t>
            </w:r>
          </w:p>
        </w:tc>
        <w:tc>
          <w:tcPr/>
          <w:p>
            <w:pPr>
              <w:pStyle w:val="Compact"/>
              <w:jc w:val="left"/>
            </w:pPr>
            <w:r>
              <w:t xml:space="preserve">Python application</w:t>
            </w:r>
          </w:p>
        </w:tc>
      </w:tr>
      <w:tr>
        <w:tc>
          <w:tcPr/>
          <w:p>
            <w:pPr>
              <w:pStyle w:val="Compact"/>
            </w:pPr>
          </w:p>
        </w:tc>
        <w:tc>
          <w:tcPr/>
          <w:p>
            <w:pPr>
              <w:pStyle w:val="Compact"/>
              <w:jc w:val="left"/>
            </w:pPr>
            <w:r>
              <w:t xml:space="preserve">Knowledge base</w:t>
            </w:r>
          </w:p>
        </w:tc>
        <w:tc>
          <w:tcPr/>
          <w:p>
            <w:pPr>
              <w:pStyle w:val="Compact"/>
              <w:jc w:val="left"/>
            </w:pPr>
            <w:r>
              <w:t xml:space="preserve">JSON database</w:t>
            </w:r>
          </w:p>
        </w:tc>
      </w:tr>
      <w:tr>
        <w:tc>
          <w:tcPr/>
          <w:p>
            <w:pPr>
              <w:pStyle w:val="Compact"/>
            </w:pPr>
          </w:p>
        </w:tc>
        <w:tc>
          <w:tcPr/>
          <w:p>
            <w:pPr>
              <w:pStyle w:val="Compact"/>
              <w:jc w:val="left"/>
            </w:pPr>
            <w:r>
              <w:t xml:space="preserve">Interpretation modules</w:t>
            </w:r>
          </w:p>
        </w:tc>
        <w:tc>
          <w:tcPr/>
          <w:p>
            <w:pPr>
              <w:pStyle w:val="Compact"/>
              <w:jc w:val="left"/>
            </w:pPr>
            <w:r>
              <w:t xml:space="preserve">Python scripts</w:t>
            </w:r>
          </w:p>
        </w:tc>
      </w:tr>
      <w:tr>
        <w:tc>
          <w:tcPr/>
          <w:p>
            <w:pPr>
              <w:pStyle w:val="Compact"/>
            </w:pPr>
          </w:p>
        </w:tc>
        <w:tc>
          <w:tcPr/>
          <w:p>
            <w:pPr>
              <w:pStyle w:val="Compact"/>
              <w:jc w:val="left"/>
            </w:pPr>
            <w:r>
              <w:t xml:space="preserve">User documentation</w:t>
            </w:r>
          </w:p>
        </w:tc>
        <w:tc>
          <w:tcPr/>
          <w:p>
            <w:pPr>
              <w:pStyle w:val="Compact"/>
              <w:jc w:val="left"/>
            </w:pPr>
            <w:r>
              <w:t xml:space="preserve">Manual, tutorials</w:t>
            </w:r>
          </w:p>
        </w:tc>
      </w:tr>
    </w:tbl>
    <w:bookmarkEnd w:id="40"/>
    <w:bookmarkStart w:id="41" w:name="novelty-statement"/>
    <w:p>
      <w:pPr>
        <w:pStyle w:val="Heading2"/>
      </w:pPr>
      <w:r>
        <w:t xml:space="preserve">4.7 Novelty Statement</w:t>
      </w:r>
    </w:p>
    <w:p>
      <w:pPr>
        <w:pStyle w:val="FirstParagraph"/>
      </w:pPr>
      <w:r>
        <w:t xml:space="preserve">This research is novel in that it will:</w:t>
      </w:r>
    </w:p>
    <w:p>
      <w:pPr>
        <w:numPr>
          <w:ilvl w:val="0"/>
          <w:numId w:val="1016"/>
        </w:numPr>
      </w:pPr>
      <w:r>
        <w:rPr>
          <w:bCs/>
          <w:b/>
        </w:rPr>
        <w:t xml:space="preserve">First LLM-assisted seismic interpretation system</w:t>
      </w:r>
      <w:r>
        <w:t xml:space="preserve"> </w:t>
      </w:r>
      <w:r>
        <w:t xml:space="preserve">capable of analyzing both numerical results and visual outputs, providing intelligent guidance throughout the interpretation workflow—a capability not present in any existing commercial or open-source interpretation software worldwide</w:t>
      </w:r>
    </w:p>
    <w:p>
      <w:pPr>
        <w:numPr>
          <w:ilvl w:val="0"/>
          <w:numId w:val="1016"/>
        </w:numPr>
      </w:pPr>
      <w:r>
        <w:rPr>
          <w:bCs/>
          <w:b/>
        </w:rPr>
        <w:t xml:space="preserve">First comprehensive 3D seismic interpretation</w:t>
      </w:r>
      <w:r>
        <w:t xml:space="preserve"> </w:t>
      </w:r>
      <w:r>
        <w:t xml:space="preserve">of the Bornu Chad Basin using modern computational methods</w:t>
      </w:r>
    </w:p>
    <w:p>
      <w:pPr>
        <w:numPr>
          <w:ilvl w:val="0"/>
          <w:numId w:val="1016"/>
        </w:numPr>
      </w:pPr>
      <w:r>
        <w:rPr>
          <w:bCs/>
          <w:b/>
        </w:rPr>
        <w:t xml:space="preserve">First quantitative well-tie analysis</w:t>
      </w:r>
      <w:r>
        <w:t xml:space="preserve"> </w:t>
      </w:r>
      <w:r>
        <w:t xml:space="preserve">with reported correlation metrics for the basin</w:t>
      </w:r>
    </w:p>
    <w:p>
      <w:pPr>
        <w:numPr>
          <w:ilvl w:val="0"/>
          <w:numId w:val="1016"/>
        </w:numPr>
      </w:pPr>
      <w:r>
        <w:rPr>
          <w:bCs/>
          <w:b/>
        </w:rPr>
        <w:t xml:space="preserve">First systematic DHI analysis</w:t>
      </w:r>
      <w:r>
        <w:t xml:space="preserve"> </w:t>
      </w:r>
      <w:r>
        <w:t xml:space="preserve">applying statistical detection methods to basin data</w:t>
      </w:r>
    </w:p>
    <w:p>
      <w:pPr>
        <w:numPr>
          <w:ilvl w:val="0"/>
          <w:numId w:val="1016"/>
        </w:numPr>
      </w:pPr>
      <w:r>
        <w:rPr>
          <w:bCs/>
          <w:b/>
        </w:rPr>
        <w:t xml:space="preserve">First automated fault characterization</w:t>
      </w:r>
      <w:r>
        <w:t xml:space="preserve"> </w:t>
      </w:r>
      <w:r>
        <w:t xml:space="preserve">with throw quantification across the 3D survey</w:t>
      </w:r>
    </w:p>
    <w:p>
      <w:pPr>
        <w:numPr>
          <w:ilvl w:val="0"/>
          <w:numId w:val="1016"/>
        </w:numPr>
      </w:pPr>
      <w:r>
        <w:rPr>
          <w:bCs/>
          <w:b/>
        </w:rPr>
        <w:t xml:space="preserve">Integration of multiple methods</w:t>
      </w:r>
      <w:r>
        <w:t xml:space="preserve"> </w:t>
      </w:r>
      <w:r>
        <w:t xml:space="preserve">in a reproducible, AI-augmented workflow applicable to frontier basins</w:t>
      </w:r>
    </w:p>
    <w:p>
      <w:pPr>
        <w:pStyle w:val="FirstParagraph"/>
      </w:pPr>
      <w:r>
        <w:t xml:space="preserve">The combination of pioneering AI technology (LLM integration), real exploration data, modern computational methods, and comprehensive documentation makes this research a significant contribution to both the advancement of interpretation technology and practical exploration guidance for the Bornu Chad Basin. The LLM-assisted framework developed in this research has potential applications far beyond this study area, representing a template for next-generation interpretation systems globally.</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2026-02-12T10:33:29Z</dcterms:created>
  <dcterms:modified xsi:type="dcterms:W3CDTF">2026-02-12T10:33:29Z</dcterms:modified>
</cp:coreProperties>
</file>

<file path=docProps/custom.xml><?xml version="1.0" encoding="utf-8"?>
<Properties xmlns="http://schemas.openxmlformats.org/officeDocument/2006/custom-properties" xmlns:vt="http://schemas.openxmlformats.org/officeDocument/2006/docPropsVTypes"/>
</file>