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AI-Augmented Seismic Interpretation and Reservoir Characterization of the Bornu Chad Basin, Nigeria: Development and Application of an LLM-Assisted Workflow</w:t>
      </w:r>
    </w:p>
    <w:p/>
    <w:p/>
    <w:p>
      <w:pPr>
        <w:pStyle w:val="Heading1"/>
      </w:pPr>
      <w:r>
        <w:t>CHAPTER FIVE: SUMMARY AND CONCLUSION</w:t>
      </w:r>
    </w:p>
    <w:p/>
    <w:p>
      <w:pPr>
        <w:pStyle w:val="Heading2"/>
      </w:pPr>
      <w:r>
        <w:t>5.1 Summary</w:t>
      </w:r>
    </w:p>
    <w:p/>
    <w:p>
      <w:pPr>
        <w:spacing w:line="360" w:lineRule="auto" w:before="0" w:after="120"/>
        <w:jc w:val="both"/>
      </w:pPr>
      <w:r>
        <w:rPr>
          <w:rFonts w:ascii="Times New Roman" w:hAnsi="Times New Roman" w:eastAsia="Times New Roman"/>
          <w:color w:val="000000"/>
          <w:sz w:val="24"/>
        </w:rPr>
        <w:t>This proposal presents a comprehensive research plan for seismic interpretation and reservoir characterization of the Bornu Chad Basin, northeastern Nigeria. The research addresses a critical knowledge gap in understanding one of Nigeria's most promising yet underexplored frontier petroleum provinces.</w:t>
      </w:r>
    </w:p>
    <w:p/>
    <w:p>
      <w:pPr>
        <w:pStyle w:val="Heading3"/>
      </w:pPr>
      <w:r>
        <w:t>5.1.1 Problem Context</w:t>
      </w:r>
    </w:p>
    <w:p/>
    <w:p>
      <w:pPr>
        <w:spacing w:line="360" w:lineRule="auto" w:before="0" w:after="120"/>
        <w:jc w:val="both"/>
      </w:pPr>
      <w:r>
        <w:rPr>
          <w:rFonts w:ascii="Times New Roman" w:hAnsi="Times New Roman" w:eastAsia="Times New Roman"/>
          <w:color w:val="000000"/>
          <w:sz w:val="24"/>
        </w:rPr>
        <w:t>The Bornu Chad Basin, despite hosting a proven petroleum system with oil and gas shows in multiple wells, remains without commercial production after over four decades of exploration. Key challenges include:</w:t>
      </w:r>
    </w:p>
    <w:p/>
    <w:p>
      <w:pPr>
        <w:pStyle w:val="ListBullet"/>
        <w:spacing w:line="360" w:lineRule="auto" w:before="0" w:after="120"/>
      </w:pPr>
      <w:r>
        <w:rPr>
          <w:rFonts w:ascii="Times New Roman" w:hAnsi="Times New Roman" w:eastAsia="Times New Roman"/>
          <w:color w:val="000000"/>
          <w:sz w:val="24"/>
        </w:rPr>
        <w:t>Inadequately defined structural framework due to reliance on sparse 2D seismic data</w:t>
      </w:r>
    </w:p>
    <w:p>
      <w:pPr>
        <w:pStyle w:val="ListBullet"/>
        <w:spacing w:line="360" w:lineRule="auto" w:before="0" w:after="120"/>
      </w:pPr>
      <w:r>
        <w:rPr>
          <w:rFonts w:ascii="Times New Roman" w:hAnsi="Times New Roman" w:eastAsia="Times New Roman"/>
          <w:color w:val="000000"/>
          <w:sz w:val="24"/>
        </w:rPr>
        <w:t>Limited well-to-seismic calibration with no published quantitative tie assessments</w:t>
      </w:r>
    </w:p>
    <w:p>
      <w:pPr>
        <w:pStyle w:val="ListBullet"/>
        <w:spacing w:line="360" w:lineRule="auto" w:before="0" w:after="120"/>
      </w:pPr>
      <w:r>
        <w:rPr>
          <w:rFonts w:ascii="Times New Roman" w:hAnsi="Times New Roman" w:eastAsia="Times New Roman"/>
          <w:color w:val="000000"/>
          <w:sz w:val="24"/>
        </w:rPr>
        <w:t>Absence of systematic DHI analysis to identify prospective hydrocarbon accumulations</w:t>
      </w:r>
    </w:p>
    <w:p>
      <w:pPr>
        <w:pStyle w:val="ListBullet"/>
        <w:spacing w:line="360" w:lineRule="auto" w:before="0" w:after="120"/>
      </w:pPr>
      <w:r>
        <w:rPr>
          <w:rFonts w:ascii="Times New Roman" w:hAnsi="Times New Roman" w:eastAsia="Times New Roman"/>
          <w:color w:val="000000"/>
          <w:sz w:val="24"/>
        </w:rPr>
        <w:t>Lack of comprehensive, quantitative interpretation integrating all available data types</w:t>
      </w:r>
    </w:p>
    <w:p/>
    <w:p>
      <w:pPr>
        <w:spacing w:line="360" w:lineRule="auto" w:before="0" w:after="120"/>
        <w:jc w:val="both"/>
      </w:pPr>
      <w:r>
        <w:rPr>
          <w:rFonts w:ascii="Times New Roman" w:hAnsi="Times New Roman" w:eastAsia="Times New Roman"/>
          <w:color w:val="000000"/>
          <w:sz w:val="24"/>
        </w:rPr>
        <w:t>These deficiencies have contributed to high exploration risk and suboptimal prospect identification, hindering investment in the basin.</w:t>
      </w:r>
    </w:p>
    <w:p/>
    <w:p>
      <w:pPr>
        <w:pStyle w:val="Heading3"/>
      </w:pPr>
      <w:r>
        <w:t>5.1.2 Research Approach</w:t>
      </w:r>
    </w:p>
    <w:p/>
    <w:p>
      <w:pPr>
        <w:spacing w:line="360" w:lineRule="auto" w:before="0" w:after="120"/>
        <w:jc w:val="both"/>
      </w:pPr>
      <w:r>
        <w:rPr>
          <w:rFonts w:ascii="Times New Roman" w:hAnsi="Times New Roman" w:eastAsia="Times New Roman"/>
          <w:color w:val="000000"/>
          <w:sz w:val="24"/>
        </w:rPr>
        <w:t>This research proposes an integrated interpretation workflow combining conventional geophysical methods with modern computational approaches:</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Data</w:t>
      </w:r>
      <w:r>
        <w:rPr>
          <w:rFonts w:ascii="Times New Roman" w:hAnsi="Times New Roman" w:eastAsia="Times New Roman"/>
          <w:color w:val="000000"/>
          <w:sz w:val="24"/>
        </w:rPr>
        <w:t>: The study will utilize:</w:t>
      </w:r>
    </w:p>
    <w:p>
      <w:pPr>
        <w:pStyle w:val="ListBullet"/>
        <w:spacing w:line="360" w:lineRule="auto" w:before="0" w:after="120"/>
      </w:pPr>
      <w:r>
        <w:rPr>
          <w:rFonts w:ascii="Times New Roman" w:hAnsi="Times New Roman" w:eastAsia="Times New Roman"/>
          <w:color w:val="000000"/>
          <w:sz w:val="24"/>
        </w:rPr>
        <w:t>3D seismic survey (~1,955 km², 1.84 million traces)</w:t>
      </w:r>
    </w:p>
    <w:p>
      <w:pPr>
        <w:pStyle w:val="ListBullet"/>
        <w:spacing w:line="360" w:lineRule="auto" w:before="0" w:after="120"/>
      </w:pPr>
      <w:r>
        <w:rPr>
          <w:rFonts w:ascii="Times New Roman" w:hAnsi="Times New Roman" w:eastAsia="Times New Roman"/>
          <w:color w:val="000000"/>
          <w:sz w:val="24"/>
        </w:rPr>
        <w:t>62 2D seismic lines for regional context</w:t>
      </w:r>
    </w:p>
    <w:p>
      <w:pPr>
        <w:pStyle w:val="ListBullet"/>
        <w:spacing w:line="360" w:lineRule="auto" w:before="0" w:after="120"/>
      </w:pPr>
      <w:r>
        <w:rPr>
          <w:rFonts w:ascii="Times New Roman" w:hAnsi="Times New Roman" w:eastAsia="Times New Roman"/>
          <w:color w:val="000000"/>
          <w:sz w:val="24"/>
        </w:rPr>
        <w:t>6 wells with comprehensive log suites</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Methods</w:t>
      </w:r>
      <w:r>
        <w:rPr>
          <w:rFonts w:ascii="Times New Roman" w:hAnsi="Times New Roman" w:eastAsia="Times New Roman"/>
          <w:color w:val="000000"/>
          <w:sz w:val="24"/>
        </w:rPr>
        <w:t>: The workflow includes:</w:t>
      </w:r>
    </w:p>
    <w:p>
      <w:pPr>
        <w:pStyle w:val="ListBullet"/>
        <w:spacing w:line="360" w:lineRule="auto" w:before="0" w:after="120"/>
      </w:pPr>
      <w:r>
        <w:rPr>
          <w:rFonts w:ascii="Times New Roman" w:hAnsi="Times New Roman" w:eastAsia="Times New Roman"/>
          <w:color w:val="000000"/>
          <w:sz w:val="24"/>
        </w:rPr>
        <w:t>Systematic data quality assessment with quantified metrics</w:t>
      </w:r>
    </w:p>
    <w:p>
      <w:pPr>
        <w:pStyle w:val="ListBullet"/>
        <w:spacing w:line="360" w:lineRule="auto" w:before="0" w:after="120"/>
      </w:pPr>
      <w:r>
        <w:rPr>
          <w:rFonts w:ascii="Times New Roman" w:hAnsi="Times New Roman" w:eastAsia="Times New Roman"/>
          <w:color w:val="000000"/>
          <w:sz w:val="24"/>
        </w:rPr>
        <w:t>Well log analysis and petrophysical evaluation</w:t>
      </w:r>
    </w:p>
    <w:p>
      <w:pPr>
        <w:pStyle w:val="ListBullet"/>
        <w:spacing w:line="360" w:lineRule="auto" w:before="0" w:after="120"/>
      </w:pPr>
      <w:r>
        <w:rPr>
          <w:rFonts w:ascii="Times New Roman" w:hAnsi="Times New Roman" w:eastAsia="Times New Roman"/>
          <w:color w:val="000000"/>
          <w:sz w:val="24"/>
        </w:rPr>
        <w:t>Synthetic seismogram generation with correlation coefficient optimization</w:t>
      </w:r>
    </w:p>
    <w:p>
      <w:pPr>
        <w:pStyle w:val="ListBullet"/>
        <w:spacing w:line="360" w:lineRule="auto" w:before="0" w:after="120"/>
      </w:pPr>
      <w:r>
        <w:rPr>
          <w:rFonts w:ascii="Times New Roman" w:hAnsi="Times New Roman" w:eastAsia="Times New Roman"/>
          <w:color w:val="000000"/>
          <w:sz w:val="24"/>
        </w:rPr>
        <w:t>Automated horizon tracking from well-calibrated seeds</w:t>
      </w:r>
    </w:p>
    <w:p>
      <w:pPr>
        <w:pStyle w:val="ListBullet"/>
        <w:spacing w:line="360" w:lineRule="auto" w:before="0" w:after="120"/>
      </w:pPr>
      <w:r>
        <w:rPr>
          <w:rFonts w:ascii="Times New Roman" w:hAnsi="Times New Roman" w:eastAsia="Times New Roman"/>
          <w:color w:val="000000"/>
          <w:sz w:val="24"/>
        </w:rPr>
        <w:t>Seismic attribute extraction for reservoir and DHI analysis</w:t>
      </w:r>
    </w:p>
    <w:p>
      <w:pPr>
        <w:pStyle w:val="ListBullet"/>
        <w:spacing w:line="360" w:lineRule="auto" w:before="0" w:after="120"/>
      </w:pPr>
      <w:r>
        <w:rPr>
          <w:rFonts w:ascii="Times New Roman" w:hAnsi="Times New Roman" w:eastAsia="Times New Roman"/>
          <w:color w:val="000000"/>
          <w:sz w:val="24"/>
        </w:rPr>
        <w:t>Gradient and variance-based fault detection with characterization</w:t>
      </w:r>
    </w:p>
    <w:p>
      <w:pPr>
        <w:pStyle w:val="ListBullet"/>
        <w:spacing w:line="360" w:lineRule="auto" w:before="0" w:after="120"/>
      </w:pPr>
      <w:r>
        <w:rPr>
          <w:rFonts w:ascii="Times New Roman" w:hAnsi="Times New Roman" w:eastAsia="Times New Roman"/>
          <w:color w:val="000000"/>
          <w:sz w:val="24"/>
        </w:rPr>
        <w:t>Closure identification and volumetric estimation</w:t>
      </w:r>
    </w:p>
    <w:p>
      <w:pPr>
        <w:pStyle w:val="ListBullet"/>
        <w:spacing w:line="360" w:lineRule="auto" w:before="0" w:after="120"/>
      </w:pPr>
      <w:r>
        <w:rPr>
          <w:rFonts w:ascii="Times New Roman" w:hAnsi="Times New Roman" w:eastAsia="Times New Roman"/>
          <w:color w:val="000000"/>
          <w:sz w:val="24"/>
        </w:rPr>
        <w:t>Prospect ranking and drilling recommendations</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Differentiation from traditional approaches</w:t>
      </w:r>
      <w:r>
        <w:rPr>
          <w:rFonts w:ascii="Times New Roman" w:hAnsi="Times New Roman" w:eastAsia="Times New Roman"/>
          <w:color w:val="000000"/>
          <w:sz w:val="24"/>
        </w:rPr>
        <w:t>: Unlike conventional manual interpretation, this research emphasizes:</w:t>
      </w:r>
    </w:p>
    <w:p>
      <w:pPr>
        <w:pStyle w:val="ListBullet"/>
        <w:spacing w:line="360" w:lineRule="auto" w:before="0" w:after="120"/>
      </w:pPr>
      <w:r>
        <w:rPr>
          <w:rFonts w:ascii="Times New Roman" w:hAnsi="Times New Roman" w:eastAsia="Times New Roman"/>
          <w:color w:val="000000"/>
          <w:sz w:val="24"/>
        </w:rPr>
        <w:t>Quantification of all interpretation products</w:t>
      </w:r>
    </w:p>
    <w:p>
      <w:pPr>
        <w:pStyle w:val="ListBullet"/>
        <w:spacing w:line="360" w:lineRule="auto" w:before="0" w:after="120"/>
      </w:pPr>
      <w:r>
        <w:rPr>
          <w:rFonts w:ascii="Times New Roman" w:hAnsi="Times New Roman" w:eastAsia="Times New Roman"/>
          <w:color w:val="000000"/>
          <w:sz w:val="24"/>
        </w:rPr>
        <w:t>Reproducible, documented workflows</w:t>
      </w:r>
    </w:p>
    <w:p>
      <w:pPr>
        <w:pStyle w:val="ListBullet"/>
        <w:spacing w:line="360" w:lineRule="auto" w:before="0" w:after="120"/>
      </w:pPr>
      <w:r>
        <w:rPr>
          <w:rFonts w:ascii="Times New Roman" w:hAnsi="Times New Roman" w:eastAsia="Times New Roman"/>
          <w:color w:val="000000"/>
          <w:sz w:val="24"/>
        </w:rPr>
        <w:t>Statistical detection of anomalies</w:t>
      </w:r>
    </w:p>
    <w:p>
      <w:pPr>
        <w:pStyle w:val="ListBullet"/>
        <w:spacing w:line="360" w:lineRule="auto" w:before="0" w:after="120"/>
      </w:pPr>
      <w:r>
        <w:rPr>
          <w:rFonts w:ascii="Times New Roman" w:hAnsi="Times New Roman" w:eastAsia="Times New Roman"/>
          <w:color w:val="000000"/>
          <w:sz w:val="24"/>
        </w:rPr>
        <w:t>Automated processing where appropriate</w:t>
      </w:r>
    </w:p>
    <w:p>
      <w:pPr>
        <w:pStyle w:val="ListBullet"/>
        <w:spacing w:line="360" w:lineRule="auto" w:before="0" w:after="120"/>
      </w:pPr>
      <w:r>
        <w:rPr>
          <w:rFonts w:ascii="Times New Roman" w:hAnsi="Times New Roman" w:eastAsia="Times New Roman"/>
          <w:color w:val="000000"/>
          <w:sz w:val="24"/>
        </w:rPr>
        <w:t>Comprehensive uncertainty assessment</w:t>
      </w:r>
    </w:p>
    <w:p>
      <w:pPr>
        <w:pStyle w:val="ListBullet"/>
        <w:spacing w:line="360" w:lineRule="auto" w:before="0" w:after="120"/>
      </w:pPr>
      <w:r>
        <w:rPr>
          <w:rFonts w:ascii="Times New Roman" w:hAnsi="Times New Roman" w:eastAsia="Times New Roman"/>
          <w:color w:val="000000"/>
          <w:sz w:val="24"/>
        </w:rPr>
      </w:r>
      <w:r>
        <w:rPr>
          <w:rFonts w:ascii="Times New Roman" w:hAnsi="Times New Roman" w:eastAsia="Times New Roman"/>
          <w:b/>
          <w:color w:val="000000"/>
          <w:sz w:val="24"/>
        </w:rPr>
        <w:t>LLM-assisted interpretation</w:t>
      </w:r>
      <w:r>
        <w:rPr>
          <w:rFonts w:ascii="Times New Roman" w:hAnsi="Times New Roman" w:eastAsia="Times New Roman"/>
          <w:color w:val="000000"/>
          <w:sz w:val="24"/>
        </w:rPr>
        <w:t xml:space="preserve"> with intelligent result analysis and decision guidance</w:t>
      </w:r>
    </w:p>
    <w:p>
      <w:pPr>
        <w:pStyle w:val="ListBullet"/>
        <w:spacing w:line="360" w:lineRule="auto" w:before="0" w:after="120"/>
      </w:pPr>
      <w:r>
        <w:rPr>
          <w:rFonts w:ascii="Times New Roman" w:hAnsi="Times New Roman" w:eastAsia="Times New Roman"/>
          <w:color w:val="000000"/>
          <w:sz w:val="24"/>
        </w:rPr>
      </w:r>
      <w:r>
        <w:rPr>
          <w:rFonts w:ascii="Times New Roman" w:hAnsi="Times New Roman" w:eastAsia="Times New Roman"/>
          <w:b/>
          <w:color w:val="000000"/>
          <w:sz w:val="24"/>
        </w:rPr>
        <w:t>Multimodal AI analysis</w:t>
      </w:r>
      <w:r>
        <w:rPr>
          <w:rFonts w:ascii="Times New Roman" w:hAnsi="Times New Roman" w:eastAsia="Times New Roman"/>
          <w:color w:val="000000"/>
          <w:sz w:val="24"/>
        </w:rPr>
        <w:t xml:space="preserve"> capable of interpreting both numerical outputs and visual displays</w:t>
      </w:r>
    </w:p>
    <w:p>
      <w:pPr>
        <w:pStyle w:val="ListBullet"/>
        <w:spacing w:line="360" w:lineRule="auto" w:before="0" w:after="120"/>
      </w:pPr>
      <w:r>
        <w:rPr>
          <w:rFonts w:ascii="Times New Roman" w:hAnsi="Times New Roman" w:eastAsia="Times New Roman"/>
          <w:color w:val="000000"/>
          <w:sz w:val="24"/>
        </w:rPr>
      </w:r>
      <w:r>
        <w:rPr>
          <w:rFonts w:ascii="Times New Roman" w:hAnsi="Times New Roman" w:eastAsia="Times New Roman"/>
          <w:b/>
          <w:color w:val="000000"/>
          <w:sz w:val="24"/>
        </w:rPr>
        <w:t>Natural language interface</w:t>
      </w:r>
      <w:r>
        <w:rPr>
          <w:rFonts w:ascii="Times New Roman" w:hAnsi="Times New Roman" w:eastAsia="Times New Roman"/>
          <w:color w:val="000000"/>
          <w:sz w:val="24"/>
        </w:rPr>
        <w:t xml:space="preserve"> for accessible, intuitive interaction</w:t>
      </w:r>
    </w:p>
    <w:p/>
    <w:p>
      <w:pPr>
        <w:pStyle w:val="Heading3"/>
      </w:pPr>
      <w:r>
        <w:t>5.1.3 Expected Outcomes</w:t>
      </w:r>
    </w:p>
    <w:p/>
    <w:p>
      <w:pPr>
        <w:spacing w:line="360" w:lineRule="auto" w:before="0" w:after="120"/>
        <w:jc w:val="both"/>
      </w:pPr>
      <w:r>
        <w:rPr>
          <w:rFonts w:ascii="Times New Roman" w:hAnsi="Times New Roman" w:eastAsia="Times New Roman"/>
          <w:color w:val="000000"/>
          <w:sz w:val="24"/>
        </w:rPr>
        <w:t>The research will produce:</w:t>
      </w:r>
    </w:p>
    <w:p/>
    <w:p>
      <w:pPr>
        <w:spacing w:line="360" w:lineRule="auto" w:before="0" w:after="120"/>
        <w:jc w:val="both"/>
      </w:pPr>
      <w:r>
        <w:rPr>
          <w:rFonts w:ascii="Times New Roman" w:hAnsi="Times New Roman" w:eastAsia="Times New Roman"/>
          <w:color w:val="000000"/>
          <w:sz w:val="24"/>
        </w:rPr>
        <w:t xml:space="preserve">1. </w:t>
      </w:r>
      <w:r>
        <w:rPr>
          <w:rFonts w:ascii="Times New Roman" w:hAnsi="Times New Roman" w:eastAsia="Times New Roman"/>
          <w:b/>
          <w:color w:val="000000"/>
          <w:sz w:val="24"/>
        </w:rPr>
        <w:t>Scientific contributions</w:t>
      </w:r>
      <w:r>
        <w:rPr>
          <w:rFonts w:ascii="Times New Roman" w:hAnsi="Times New Roman" w:eastAsia="Times New Roman"/>
          <w:color w:val="000000"/>
          <w:sz w:val="24"/>
        </w:rPr>
        <w:t>:</w:t>
      </w:r>
    </w:p>
    <w:p>
      <w:pPr>
        <w:pStyle w:val="ListBullet"/>
        <w:spacing w:line="360" w:lineRule="auto" w:before="0" w:after="120"/>
      </w:pPr>
      <w:r>
        <w:rPr>
          <w:rFonts w:ascii="Times New Roman" w:hAnsi="Times New Roman" w:eastAsia="Times New Roman"/>
          <w:color w:val="000000"/>
          <w:sz w:val="24"/>
        </w:rPr>
        <w:t>First comprehensive structural framework from 3D seismic</w:t>
      </w:r>
    </w:p>
    <w:p>
      <w:pPr>
        <w:pStyle w:val="ListBullet"/>
        <w:spacing w:line="360" w:lineRule="auto" w:before="0" w:after="120"/>
      </w:pPr>
      <w:r>
        <w:rPr>
          <w:rFonts w:ascii="Times New Roman" w:hAnsi="Times New Roman" w:eastAsia="Times New Roman"/>
          <w:color w:val="000000"/>
          <w:sz w:val="24"/>
        </w:rPr>
        <w:t>Refined stratigraphic correlations with quantified well-ties</w:t>
      </w:r>
    </w:p>
    <w:p>
      <w:pPr>
        <w:pStyle w:val="ListBullet"/>
        <w:spacing w:line="360" w:lineRule="auto" w:before="0" w:after="120"/>
      </w:pPr>
      <w:r>
        <w:rPr>
          <w:rFonts w:ascii="Times New Roman" w:hAnsi="Times New Roman" w:eastAsia="Times New Roman"/>
          <w:color w:val="000000"/>
          <w:sz w:val="24"/>
        </w:rPr>
        <w:t>Systematic DHI documentation</w:t>
      </w:r>
    </w:p>
    <w:p>
      <w:pPr>
        <w:pStyle w:val="ListBullet"/>
        <w:spacing w:line="360" w:lineRule="auto" w:before="0" w:after="120"/>
      </w:pPr>
      <w:r>
        <w:rPr>
          <w:rFonts w:ascii="Times New Roman" w:hAnsi="Times New Roman" w:eastAsia="Times New Roman"/>
          <w:color w:val="000000"/>
          <w:sz w:val="24"/>
        </w:rPr>
        <w:t>Integrated reservoir characterization</w:t>
      </w:r>
    </w:p>
    <w:p/>
    <w:p>
      <w:pPr>
        <w:spacing w:line="360" w:lineRule="auto" w:before="0" w:after="120"/>
        <w:jc w:val="both"/>
      </w:pPr>
      <w:r>
        <w:rPr>
          <w:rFonts w:ascii="Times New Roman" w:hAnsi="Times New Roman" w:eastAsia="Times New Roman"/>
          <w:color w:val="000000"/>
          <w:sz w:val="24"/>
        </w:rPr>
        <w:t xml:space="preserve">2. </w:t>
      </w:r>
      <w:r>
        <w:rPr>
          <w:rFonts w:ascii="Times New Roman" w:hAnsi="Times New Roman" w:eastAsia="Times New Roman"/>
          <w:b/>
          <w:color w:val="000000"/>
          <w:sz w:val="24"/>
        </w:rPr>
        <w:t>Applied contributions</w:t>
      </w:r>
      <w:r>
        <w:rPr>
          <w:rFonts w:ascii="Times New Roman" w:hAnsi="Times New Roman" w:eastAsia="Times New Roman"/>
          <w:color w:val="000000"/>
          <w:sz w:val="24"/>
        </w:rPr>
        <w:t>:</w:t>
      </w:r>
    </w:p>
    <w:p>
      <w:pPr>
        <w:pStyle w:val="ListBullet"/>
        <w:spacing w:line="360" w:lineRule="auto" w:before="0" w:after="120"/>
      </w:pPr>
      <w:r>
        <w:rPr>
          <w:rFonts w:ascii="Times New Roman" w:hAnsi="Times New Roman" w:eastAsia="Times New Roman"/>
          <w:color w:val="000000"/>
          <w:sz w:val="24"/>
        </w:rPr>
        <w:t>Prospect inventory with quantified parameters</w:t>
      </w:r>
    </w:p>
    <w:p>
      <w:pPr>
        <w:pStyle w:val="ListBullet"/>
        <w:spacing w:line="360" w:lineRule="auto" w:before="0" w:after="120"/>
      </w:pPr>
      <w:r>
        <w:rPr>
          <w:rFonts w:ascii="Times New Roman" w:hAnsi="Times New Roman" w:eastAsia="Times New Roman"/>
          <w:color w:val="000000"/>
          <w:sz w:val="24"/>
        </w:rPr>
        <w:t>Ranked drilling recommendations</w:t>
      </w:r>
    </w:p>
    <w:p>
      <w:pPr>
        <w:pStyle w:val="ListBullet"/>
        <w:spacing w:line="360" w:lineRule="auto" w:before="0" w:after="120"/>
      </w:pPr>
      <w:r>
        <w:rPr>
          <w:rFonts w:ascii="Times New Roman" w:hAnsi="Times New Roman" w:eastAsia="Times New Roman"/>
          <w:color w:val="000000"/>
          <w:sz w:val="24"/>
        </w:rPr>
        <w:t>Resource estimates with uncertainty ranges</w:t>
      </w:r>
    </w:p>
    <w:p>
      <w:pPr>
        <w:pStyle w:val="ListBullet"/>
        <w:spacing w:line="360" w:lineRule="auto" w:before="0" w:after="120"/>
      </w:pPr>
      <w:r>
        <w:rPr>
          <w:rFonts w:ascii="Times New Roman" w:hAnsi="Times New Roman" w:eastAsia="Times New Roman"/>
          <w:color w:val="000000"/>
          <w:sz w:val="24"/>
        </w:rPr>
        <w:t>Data quality assessment for future planning</w:t>
      </w:r>
    </w:p>
    <w:p/>
    <w:p>
      <w:pPr>
        <w:spacing w:line="360" w:lineRule="auto" w:before="0" w:after="120"/>
        <w:jc w:val="both"/>
      </w:pPr>
      <w:r>
        <w:rPr>
          <w:rFonts w:ascii="Times New Roman" w:hAnsi="Times New Roman" w:eastAsia="Times New Roman"/>
          <w:color w:val="000000"/>
          <w:sz w:val="24"/>
        </w:rPr>
        <w:t xml:space="preserve">3. </w:t>
      </w:r>
      <w:r>
        <w:rPr>
          <w:rFonts w:ascii="Times New Roman" w:hAnsi="Times New Roman" w:eastAsia="Times New Roman"/>
          <w:b/>
          <w:color w:val="000000"/>
          <w:sz w:val="24"/>
        </w:rPr>
        <w:t>Methodological contributions</w:t>
      </w:r>
      <w:r>
        <w:rPr>
          <w:rFonts w:ascii="Times New Roman" w:hAnsi="Times New Roman" w:eastAsia="Times New Roman"/>
          <w:color w:val="000000"/>
          <w:sz w:val="24"/>
        </w:rPr>
        <w:t>:</w:t>
      </w:r>
    </w:p>
    <w:p>
      <w:pPr>
        <w:pStyle w:val="ListBullet"/>
        <w:spacing w:line="360" w:lineRule="auto" w:before="0" w:after="120"/>
      </w:pPr>
      <w:r>
        <w:rPr>
          <w:rFonts w:ascii="Times New Roman" w:hAnsi="Times New Roman" w:eastAsia="Times New Roman"/>
          <w:color w:val="000000"/>
          <w:sz w:val="24"/>
        </w:rPr>
        <w:t>Documented workflow applicable to frontier basins</w:t>
      </w:r>
    </w:p>
    <w:p>
      <w:pPr>
        <w:pStyle w:val="ListBullet"/>
        <w:spacing w:line="360" w:lineRule="auto" w:before="0" w:after="120"/>
      </w:pPr>
      <w:r>
        <w:rPr>
          <w:rFonts w:ascii="Times New Roman" w:hAnsi="Times New Roman" w:eastAsia="Times New Roman"/>
          <w:color w:val="000000"/>
          <w:sz w:val="24"/>
        </w:rPr>
        <w:t>Quantitative well-tie methodology for vintage seismic</w:t>
      </w:r>
    </w:p>
    <w:p>
      <w:pPr>
        <w:pStyle w:val="ListBullet"/>
        <w:spacing w:line="360" w:lineRule="auto" w:before="0" w:after="120"/>
      </w:pPr>
      <w:r>
        <w:rPr>
          <w:rFonts w:ascii="Times New Roman" w:hAnsi="Times New Roman" w:eastAsia="Times New Roman"/>
          <w:color w:val="000000"/>
          <w:sz w:val="24"/>
        </w:rPr>
        <w:t>Automated fault characterization approach</w:t>
      </w:r>
    </w:p>
    <w:p>
      <w:pPr>
        <w:pStyle w:val="ListBullet"/>
        <w:spacing w:line="360" w:lineRule="auto" w:before="0" w:after="120"/>
      </w:pPr>
      <w:r>
        <w:rPr>
          <w:rFonts w:ascii="Times New Roman" w:hAnsi="Times New Roman" w:eastAsia="Times New Roman"/>
          <w:color w:val="000000"/>
          <w:sz w:val="24"/>
        </w:rPr>
        <w:t>Statistical DHI detection framework</w:t>
      </w:r>
    </w:p>
    <w:p/>
    <w:p>
      <w:pPr>
        <w:spacing w:line="360" w:lineRule="auto" w:before="0" w:after="120"/>
        <w:jc w:val="both"/>
      </w:pPr>
      <w:r>
        <w:rPr>
          <w:rFonts w:ascii="Times New Roman" w:hAnsi="Times New Roman" w:eastAsia="Times New Roman"/>
          <w:color w:val="000000"/>
          <w:sz w:val="24"/>
        </w:rPr>
        <w:t xml:space="preserve">4. </w:t>
      </w:r>
      <w:r>
        <w:rPr>
          <w:rFonts w:ascii="Times New Roman" w:hAnsi="Times New Roman" w:eastAsia="Times New Roman"/>
          <w:b/>
          <w:color w:val="000000"/>
          <w:sz w:val="24"/>
        </w:rPr>
        <w:t>Technological contributions</w:t>
      </w:r>
      <w:r>
        <w:rPr>
          <w:rFonts w:ascii="Times New Roman" w:hAnsi="Times New Roman" w:eastAsia="Times New Roman"/>
          <w:color w:val="000000"/>
          <w:sz w:val="24"/>
        </w:rPr>
        <w:t>:</w:t>
      </w:r>
    </w:p>
    <w:p>
      <w:pPr>
        <w:pStyle w:val="ListBullet"/>
        <w:spacing w:line="360" w:lineRule="auto" w:before="0" w:after="120"/>
      </w:pPr>
      <w:r>
        <w:rPr>
          <w:rFonts w:ascii="Times New Roman" w:hAnsi="Times New Roman" w:eastAsia="Times New Roman"/>
          <w:color w:val="000000"/>
          <w:sz w:val="24"/>
        </w:rPr>
        <w:t>First LLM-assisted seismic interpretation framework</w:t>
      </w:r>
    </w:p>
    <w:p>
      <w:pPr>
        <w:pStyle w:val="ListBullet"/>
        <w:spacing w:line="360" w:lineRule="auto" w:before="0" w:after="120"/>
      </w:pPr>
      <w:r>
        <w:rPr>
          <w:rFonts w:ascii="Times New Roman" w:hAnsi="Times New Roman" w:eastAsia="Times New Roman"/>
          <w:color w:val="000000"/>
          <w:sz w:val="24"/>
        </w:rPr>
        <w:t>GUI application integrating all interpretation modules</w:t>
      </w:r>
    </w:p>
    <w:p>
      <w:pPr>
        <w:pStyle w:val="ListBullet"/>
        <w:spacing w:line="360" w:lineRule="auto" w:before="0" w:after="120"/>
      </w:pPr>
      <w:r>
        <w:rPr>
          <w:rFonts w:ascii="Times New Roman" w:hAnsi="Times New Roman" w:eastAsia="Times New Roman"/>
          <w:color w:val="000000"/>
          <w:sz w:val="24"/>
        </w:rPr>
        <w:t>Multimodal AI analysis (numerical + visual interpretation)</w:t>
      </w:r>
    </w:p>
    <w:p>
      <w:pPr>
        <w:pStyle w:val="ListBullet"/>
        <w:spacing w:line="360" w:lineRule="auto" w:before="0" w:after="120"/>
      </w:pPr>
      <w:r>
        <w:rPr>
          <w:rFonts w:ascii="Times New Roman" w:hAnsi="Times New Roman" w:eastAsia="Times New Roman"/>
          <w:color w:val="000000"/>
          <w:sz w:val="24"/>
        </w:rPr>
        <w:t>Natural language interface for interpretation guidance</w:t>
      </w:r>
    </w:p>
    <w:p>
      <w:pPr>
        <w:pStyle w:val="ListBullet"/>
        <w:spacing w:line="360" w:lineRule="auto" w:before="0" w:after="120"/>
      </w:pPr>
      <w:r>
        <w:rPr>
          <w:rFonts w:ascii="Times New Roman" w:hAnsi="Times New Roman" w:eastAsia="Times New Roman"/>
          <w:color w:val="000000"/>
          <w:sz w:val="24"/>
        </w:rPr>
        <w:t>Knowledge base architecture for geological reasoning</w:t>
      </w:r>
    </w:p>
    <w:p/>
    <w:p>
      <w:pPr>
        <w:pStyle w:val="Heading2"/>
      </w:pPr>
      <w:r>
        <w:t>5.2 Justification for PhD-Level Research</w:t>
      </w:r>
    </w:p>
    <w:p/>
    <w:p>
      <w:pPr>
        <w:spacing w:line="360" w:lineRule="auto" w:before="0" w:after="120"/>
        <w:jc w:val="both"/>
      </w:pPr>
      <w:r>
        <w:rPr>
          <w:rFonts w:ascii="Times New Roman" w:hAnsi="Times New Roman" w:eastAsia="Times New Roman"/>
          <w:color w:val="000000"/>
          <w:sz w:val="24"/>
        </w:rPr>
        <w:t>This research merits doctoral-level investigation based on the following criteria:</w:t>
      </w:r>
    </w:p>
    <w:p/>
    <w:p>
      <w:pPr>
        <w:pStyle w:val="Heading3"/>
      </w:pPr>
      <w:r>
        <w:t>5.2.1 Originality</w:t>
      </w:r>
    </w:p>
    <w:p/>
    <w:p>
      <w:pPr>
        <w:pStyle w:val="ListBullet"/>
        <w:spacing w:line="360" w:lineRule="auto" w:before="0" w:after="120"/>
      </w:pPr>
      <w:r>
        <w:rPr>
          <w:rFonts w:ascii="Times New Roman" w:hAnsi="Times New Roman" w:eastAsia="Times New Roman"/>
          <w:color w:val="000000"/>
          <w:sz w:val="24"/>
        </w:rPr>
      </w:r>
      <w:r>
        <w:rPr>
          <w:rFonts w:ascii="Times New Roman" w:hAnsi="Times New Roman" w:eastAsia="Times New Roman"/>
          <w:b/>
          <w:color w:val="000000"/>
          <w:sz w:val="24"/>
        </w:rPr>
        <w:t>First LLM-assisted seismic interpretation system worldwide</w:t>
      </w:r>
      <w:r>
        <w:rPr>
          <w:rFonts w:ascii="Times New Roman" w:hAnsi="Times New Roman" w:eastAsia="Times New Roman"/>
          <w:color w:val="000000"/>
          <w:sz w:val="24"/>
        </w:rPr>
        <w:t>—no existing commercial or open-source software integrates Large Language Models for result analysis, visual interpretation, and decision guidance</w:t>
      </w:r>
    </w:p>
    <w:p>
      <w:pPr>
        <w:pStyle w:val="ListBullet"/>
        <w:spacing w:line="360" w:lineRule="auto" w:before="0" w:after="120"/>
      </w:pPr>
      <w:r>
        <w:rPr>
          <w:rFonts w:ascii="Times New Roman" w:hAnsi="Times New Roman" w:eastAsia="Times New Roman"/>
          <w:color w:val="000000"/>
          <w:sz w:val="24"/>
        </w:rPr>
        <w:t>No comprehensive interpretation of Bornu Chad Basin 3D seismic has been published</w:t>
      </w:r>
    </w:p>
    <w:p>
      <w:pPr>
        <w:pStyle w:val="ListBullet"/>
        <w:spacing w:line="360" w:lineRule="auto" w:before="0" w:after="120"/>
      </w:pPr>
      <w:r>
        <w:rPr>
          <w:rFonts w:ascii="Times New Roman" w:hAnsi="Times New Roman" w:eastAsia="Times New Roman"/>
          <w:color w:val="000000"/>
          <w:sz w:val="24"/>
        </w:rPr>
        <w:t>Integration of automated methods with conventional interpretation is novel for this basin</w:t>
      </w:r>
    </w:p>
    <w:p>
      <w:pPr>
        <w:pStyle w:val="ListBullet"/>
        <w:spacing w:line="360" w:lineRule="auto" w:before="0" w:after="120"/>
      </w:pPr>
      <w:r>
        <w:rPr>
          <w:rFonts w:ascii="Times New Roman" w:hAnsi="Times New Roman" w:eastAsia="Times New Roman"/>
          <w:color w:val="000000"/>
          <w:sz w:val="24"/>
        </w:rPr>
        <w:t>Quantitative well-tie assessment will be the first reported for the area</w:t>
      </w:r>
    </w:p>
    <w:p>
      <w:pPr>
        <w:pStyle w:val="ListBullet"/>
        <w:spacing w:line="360" w:lineRule="auto" w:before="0" w:after="120"/>
      </w:pPr>
      <w:r>
        <w:rPr>
          <w:rFonts w:ascii="Times New Roman" w:hAnsi="Times New Roman" w:eastAsia="Times New Roman"/>
          <w:color w:val="000000"/>
          <w:sz w:val="24"/>
        </w:rPr>
        <w:t>Systematic DHI analysis represents new application to available data</w:t>
      </w:r>
    </w:p>
    <w:p/>
    <w:p>
      <w:pPr>
        <w:pStyle w:val="Heading3"/>
      </w:pPr>
      <w:r>
        <w:t>5.2.2 Significance</w:t>
      </w:r>
    </w:p>
    <w:p/>
    <w:p>
      <w:pPr>
        <w:pStyle w:val="ListBullet"/>
        <w:spacing w:line="360" w:lineRule="auto" w:before="0" w:after="120"/>
      </w:pPr>
      <w:r>
        <w:rPr>
          <w:rFonts w:ascii="Times New Roman" w:hAnsi="Times New Roman" w:eastAsia="Times New Roman"/>
          <w:color w:val="000000"/>
          <w:sz w:val="24"/>
        </w:rPr>
        <w:t>Results directly applicable to exploration decisions affecting Nigeria's energy security</w:t>
      </w:r>
    </w:p>
    <w:p>
      <w:pPr>
        <w:pStyle w:val="ListBullet"/>
        <w:spacing w:line="360" w:lineRule="auto" w:before="0" w:after="120"/>
      </w:pPr>
      <w:r>
        <w:rPr>
          <w:rFonts w:ascii="Times New Roman" w:hAnsi="Times New Roman" w:eastAsia="Times New Roman"/>
          <w:color w:val="000000"/>
          <w:sz w:val="24"/>
        </w:rPr>
        <w:t>Methodological contributions transferable to other frontier basins</w:t>
      </w:r>
    </w:p>
    <w:p>
      <w:pPr>
        <w:pStyle w:val="ListBullet"/>
        <w:spacing w:line="360" w:lineRule="auto" w:before="0" w:after="120"/>
      </w:pPr>
      <w:r>
        <w:rPr>
          <w:rFonts w:ascii="Times New Roman" w:hAnsi="Times New Roman" w:eastAsia="Times New Roman"/>
          <w:color w:val="000000"/>
          <w:sz w:val="24"/>
        </w:rPr>
        <w:t>Advances understanding of rift basin petroleum systems</w:t>
      </w:r>
    </w:p>
    <w:p>
      <w:pPr>
        <w:pStyle w:val="ListBullet"/>
        <w:spacing w:line="360" w:lineRule="auto" w:before="0" w:after="120"/>
      </w:pPr>
      <w:r>
        <w:rPr>
          <w:rFonts w:ascii="Times New Roman" w:hAnsi="Times New Roman" w:eastAsia="Times New Roman"/>
          <w:color w:val="000000"/>
          <w:sz w:val="24"/>
        </w:rPr>
        <w:t>Provides template for quantitative interpretation in data-limited settings</w:t>
      </w:r>
    </w:p>
    <w:p/>
    <w:p>
      <w:pPr>
        <w:pStyle w:val="Heading3"/>
      </w:pPr>
      <w:r>
        <w:t>5.2.3 Rigor</w:t>
      </w:r>
    </w:p>
    <w:p/>
    <w:p>
      <w:pPr>
        <w:pStyle w:val="ListBullet"/>
        <w:spacing w:line="360" w:lineRule="auto" w:before="0" w:after="120"/>
      </w:pPr>
      <w:r>
        <w:rPr>
          <w:rFonts w:ascii="Times New Roman" w:hAnsi="Times New Roman" w:eastAsia="Times New Roman"/>
          <w:color w:val="000000"/>
          <w:sz w:val="24"/>
        </w:rPr>
        <w:t>Comprehensive methodology covering all aspects of seismic interpretation</w:t>
      </w:r>
    </w:p>
    <w:p>
      <w:pPr>
        <w:pStyle w:val="ListBullet"/>
        <w:spacing w:line="360" w:lineRule="auto" w:before="0" w:after="120"/>
      </w:pPr>
      <w:r>
        <w:rPr>
          <w:rFonts w:ascii="Times New Roman" w:hAnsi="Times New Roman" w:eastAsia="Times New Roman"/>
          <w:color w:val="000000"/>
          <w:sz w:val="24"/>
        </w:rPr>
        <w:t>Quantified metrics for every interpretation product</w:t>
      </w:r>
    </w:p>
    <w:p>
      <w:pPr>
        <w:pStyle w:val="ListBullet"/>
        <w:spacing w:line="360" w:lineRule="auto" w:before="0" w:after="120"/>
      </w:pPr>
      <w:r>
        <w:rPr>
          <w:rFonts w:ascii="Times New Roman" w:hAnsi="Times New Roman" w:eastAsia="Times New Roman"/>
          <w:color w:val="000000"/>
          <w:sz w:val="24"/>
        </w:rPr>
        <w:t>Documented workflows ensuring reproducibility</w:t>
      </w:r>
    </w:p>
    <w:p>
      <w:pPr>
        <w:pStyle w:val="ListBullet"/>
        <w:spacing w:line="360" w:lineRule="auto" w:before="0" w:after="120"/>
      </w:pPr>
      <w:r>
        <w:rPr>
          <w:rFonts w:ascii="Times New Roman" w:hAnsi="Times New Roman" w:eastAsia="Times New Roman"/>
          <w:color w:val="000000"/>
          <w:sz w:val="24"/>
        </w:rPr>
        <w:t>Integration of multiple independent lines of evidence</w:t>
      </w:r>
    </w:p>
    <w:p/>
    <w:p>
      <w:pPr>
        <w:pStyle w:val="Heading3"/>
      </w:pPr>
      <w:r>
        <w:t>5.2.4 Scope</w:t>
      </w:r>
    </w:p>
    <w:p/>
    <w:p>
      <w:pPr>
        <w:pStyle w:val="ListBullet"/>
        <w:spacing w:line="360" w:lineRule="auto" w:before="0" w:after="120"/>
      </w:pPr>
      <w:r>
        <w:rPr>
          <w:rFonts w:ascii="Times New Roman" w:hAnsi="Times New Roman" w:eastAsia="Times New Roman"/>
          <w:color w:val="000000"/>
          <w:sz w:val="24"/>
        </w:rPr>
        <w:t>Large dataset requiring systematic processing (~1.84 million traces)</w:t>
      </w:r>
    </w:p>
    <w:p>
      <w:pPr>
        <w:pStyle w:val="ListBullet"/>
        <w:spacing w:line="360" w:lineRule="auto" w:before="0" w:after="120"/>
      </w:pPr>
      <w:r>
        <w:rPr>
          <w:rFonts w:ascii="Times New Roman" w:hAnsi="Times New Roman" w:eastAsia="Times New Roman"/>
          <w:color w:val="000000"/>
          <w:sz w:val="24"/>
        </w:rPr>
        <w:t>Multiple analysis types integrated into coherent framework</w:t>
      </w:r>
    </w:p>
    <w:p>
      <w:pPr>
        <w:pStyle w:val="ListBullet"/>
        <w:spacing w:line="360" w:lineRule="auto" w:before="0" w:after="120"/>
      </w:pPr>
      <w:r>
        <w:rPr>
          <w:rFonts w:ascii="Times New Roman" w:hAnsi="Times New Roman" w:eastAsia="Times New Roman"/>
          <w:color w:val="000000"/>
          <w:sz w:val="24"/>
        </w:rPr>
        <w:t>Sufficient complexity to demonstrate doctoral-level competence</w:t>
      </w:r>
    </w:p>
    <w:p>
      <w:pPr>
        <w:pStyle w:val="ListBullet"/>
        <w:spacing w:line="360" w:lineRule="auto" w:before="0" w:after="120"/>
      </w:pPr>
      <w:r>
        <w:rPr>
          <w:rFonts w:ascii="Times New Roman" w:hAnsi="Times New Roman" w:eastAsia="Times New Roman"/>
          <w:color w:val="000000"/>
          <w:sz w:val="24"/>
        </w:rPr>
        <w:t>Breadth of methods spanning geophysics, geology, and computation</w:t>
      </w:r>
    </w:p>
    <w:p/>
    <w:p>
      <w:pPr>
        <w:pStyle w:val="Heading2"/>
      </w:pPr>
      <w:r>
        <w:t>5.3 Work Plan and Timeline</w:t>
      </w:r>
    </w:p>
    <w:p/>
    <w:p>
      <w:pPr>
        <w:pStyle w:val="Heading3"/>
      </w:pPr>
      <w:r>
        <w:t>5.3.1 Proposed Timeline</w:t>
      </w:r>
    </w:p>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color w:val="000000"/>
                <w:sz w:val="24"/>
              </w:rPr>
              <w:t>Phase</w:t>
            </w:r>
          </w:p>
        </w:tc>
        <w:tc>
          <w:tcPr>
            <w:tcW w:type="dxa" w:w="2880"/>
          </w:tcPr>
          <w:p>
            <w:r>
              <w:rPr>
                <w:rFonts w:ascii="Times New Roman" w:hAnsi="Times New Roman"/>
                <w:color w:val="000000"/>
                <w:sz w:val="24"/>
              </w:rPr>
              <w:t>Activities</w:t>
            </w:r>
          </w:p>
        </w:tc>
        <w:tc>
          <w:tcPr>
            <w:tcW w:type="dxa" w:w="2880"/>
          </w:tcPr>
          <w:p>
            <w:r>
              <w:rPr>
                <w:rFonts w:ascii="Times New Roman" w:hAnsi="Times New Roman"/>
                <w:color w:val="000000"/>
                <w:sz w:val="24"/>
              </w:rPr>
              <w:t>Duration</w:t>
            </w:r>
          </w:p>
        </w:tc>
      </w:tr>
      <w:tr>
        <w:tc>
          <w:tcPr>
            <w:tcW w:type="dxa" w:w="2880"/>
          </w:tcPr>
          <w:p>
            <w:r>
              <w:rPr>
                <w:rFonts w:ascii="Times New Roman" w:hAnsi="Times New Roman"/>
                <w:color w:val="000000"/>
                <w:sz w:val="24"/>
              </w:rPr>
              <w:t>**Phase 1**</w:t>
            </w:r>
          </w:p>
        </w:tc>
        <w:tc>
          <w:tcPr>
            <w:tcW w:type="dxa" w:w="2880"/>
          </w:tcPr>
          <w:p>
            <w:r>
              <w:rPr>
                <w:rFonts w:ascii="Times New Roman" w:hAnsi="Times New Roman"/>
                <w:color w:val="000000"/>
                <w:sz w:val="24"/>
              </w:rPr>
              <w:t>Literature review, data compilation, QC</w:t>
            </w:r>
          </w:p>
        </w:tc>
        <w:tc>
          <w:tcPr>
            <w:tcW w:type="dxa" w:w="2880"/>
          </w:tcPr>
          <w:p>
            <w:r>
              <w:rPr>
                <w:rFonts w:ascii="Times New Roman" w:hAnsi="Times New Roman"/>
                <w:color w:val="000000"/>
                <w:sz w:val="24"/>
              </w:rPr>
              <w:t>Months 1-3</w:t>
            </w:r>
          </w:p>
        </w:tc>
      </w:tr>
      <w:tr>
        <w:tc>
          <w:tcPr>
            <w:tcW w:type="dxa" w:w="2880"/>
          </w:tcPr>
          <w:p>
            <w:r>
              <w:rPr>
                <w:rFonts w:ascii="Times New Roman" w:hAnsi="Times New Roman"/>
                <w:color w:val="000000"/>
                <w:sz w:val="24"/>
              </w:rPr>
              <w:t>**Phase 2**</w:t>
            </w:r>
          </w:p>
        </w:tc>
        <w:tc>
          <w:tcPr>
            <w:tcW w:type="dxa" w:w="2880"/>
          </w:tcPr>
          <w:p>
            <w:r>
              <w:rPr>
                <w:rFonts w:ascii="Times New Roman" w:hAnsi="Times New Roman"/>
                <w:color w:val="000000"/>
                <w:sz w:val="24"/>
              </w:rPr>
              <w:t>Well log analysis, petrophysics</w:t>
            </w:r>
          </w:p>
        </w:tc>
        <w:tc>
          <w:tcPr>
            <w:tcW w:type="dxa" w:w="2880"/>
          </w:tcPr>
          <w:p>
            <w:r>
              <w:rPr>
                <w:rFonts w:ascii="Times New Roman" w:hAnsi="Times New Roman"/>
                <w:color w:val="000000"/>
                <w:sz w:val="24"/>
              </w:rPr>
              <w:t>Months 4-6</w:t>
            </w:r>
          </w:p>
        </w:tc>
      </w:tr>
      <w:tr>
        <w:tc>
          <w:tcPr>
            <w:tcW w:type="dxa" w:w="2880"/>
          </w:tcPr>
          <w:p>
            <w:r>
              <w:rPr>
                <w:rFonts w:ascii="Times New Roman" w:hAnsi="Times New Roman"/>
                <w:color w:val="000000"/>
                <w:sz w:val="24"/>
              </w:rPr>
              <w:t>**Phase 3**</w:t>
            </w:r>
          </w:p>
        </w:tc>
        <w:tc>
          <w:tcPr>
            <w:tcW w:type="dxa" w:w="2880"/>
          </w:tcPr>
          <w:p>
            <w:r>
              <w:rPr>
                <w:rFonts w:ascii="Times New Roman" w:hAnsi="Times New Roman"/>
                <w:color w:val="000000"/>
                <w:sz w:val="24"/>
              </w:rPr>
              <w:t>Well-seismic ties, horizon interpretation</w:t>
            </w:r>
          </w:p>
        </w:tc>
        <w:tc>
          <w:tcPr>
            <w:tcW w:type="dxa" w:w="2880"/>
          </w:tcPr>
          <w:p>
            <w:r>
              <w:rPr>
                <w:rFonts w:ascii="Times New Roman" w:hAnsi="Times New Roman"/>
                <w:color w:val="000000"/>
                <w:sz w:val="24"/>
              </w:rPr>
              <w:t>Months 7-12</w:t>
            </w:r>
          </w:p>
        </w:tc>
      </w:tr>
      <w:tr>
        <w:tc>
          <w:tcPr>
            <w:tcW w:type="dxa" w:w="2880"/>
          </w:tcPr>
          <w:p>
            <w:r>
              <w:rPr>
                <w:rFonts w:ascii="Times New Roman" w:hAnsi="Times New Roman"/>
                <w:color w:val="000000"/>
                <w:sz w:val="24"/>
              </w:rPr>
              <w:t>**Phase 4**</w:t>
            </w:r>
          </w:p>
        </w:tc>
        <w:tc>
          <w:tcPr>
            <w:tcW w:type="dxa" w:w="2880"/>
          </w:tcPr>
          <w:p>
            <w:r>
              <w:rPr>
                <w:rFonts w:ascii="Times New Roman" w:hAnsi="Times New Roman"/>
                <w:color w:val="000000"/>
                <w:sz w:val="24"/>
              </w:rPr>
              <w:t>Attribute analysis, fault interpretation</w:t>
            </w:r>
          </w:p>
        </w:tc>
        <w:tc>
          <w:tcPr>
            <w:tcW w:type="dxa" w:w="2880"/>
          </w:tcPr>
          <w:p>
            <w:r>
              <w:rPr>
                <w:rFonts w:ascii="Times New Roman" w:hAnsi="Times New Roman"/>
                <w:color w:val="000000"/>
                <w:sz w:val="24"/>
              </w:rPr>
              <w:t>Months 13-18</w:t>
            </w:r>
          </w:p>
        </w:tc>
      </w:tr>
      <w:tr>
        <w:tc>
          <w:tcPr>
            <w:tcW w:type="dxa" w:w="2880"/>
          </w:tcPr>
          <w:p>
            <w:r>
              <w:rPr>
                <w:rFonts w:ascii="Times New Roman" w:hAnsi="Times New Roman"/>
                <w:color w:val="000000"/>
                <w:sz w:val="24"/>
              </w:rPr>
              <w:t>**Phase 5**</w:t>
            </w:r>
          </w:p>
        </w:tc>
        <w:tc>
          <w:tcPr>
            <w:tcW w:type="dxa" w:w="2880"/>
          </w:tcPr>
          <w:p>
            <w:r>
              <w:rPr>
                <w:rFonts w:ascii="Times New Roman" w:hAnsi="Times New Roman"/>
                <w:color w:val="000000"/>
                <w:sz w:val="24"/>
              </w:rPr>
              <w:t>Integration, volumetrics, prospects</w:t>
            </w:r>
          </w:p>
        </w:tc>
        <w:tc>
          <w:tcPr>
            <w:tcW w:type="dxa" w:w="2880"/>
          </w:tcPr>
          <w:p>
            <w:r>
              <w:rPr>
                <w:rFonts w:ascii="Times New Roman" w:hAnsi="Times New Roman"/>
                <w:color w:val="000000"/>
                <w:sz w:val="24"/>
              </w:rPr>
              <w:t>Months 19-24</w:t>
            </w:r>
          </w:p>
        </w:tc>
      </w:tr>
      <w:tr>
        <w:tc>
          <w:tcPr>
            <w:tcW w:type="dxa" w:w="2880"/>
          </w:tcPr>
          <w:p>
            <w:r>
              <w:rPr>
                <w:rFonts w:ascii="Times New Roman" w:hAnsi="Times New Roman"/>
                <w:color w:val="000000"/>
                <w:sz w:val="24"/>
              </w:rPr>
              <w:t>**Phase 6**</w:t>
            </w:r>
          </w:p>
        </w:tc>
        <w:tc>
          <w:tcPr>
            <w:tcW w:type="dxa" w:w="2880"/>
          </w:tcPr>
          <w:p>
            <w:r>
              <w:rPr>
                <w:rFonts w:ascii="Times New Roman" w:hAnsi="Times New Roman"/>
                <w:color w:val="000000"/>
                <w:sz w:val="24"/>
              </w:rPr>
              <w:t>Documentation, thesis writing</w:t>
            </w:r>
          </w:p>
        </w:tc>
        <w:tc>
          <w:tcPr>
            <w:tcW w:type="dxa" w:w="2880"/>
          </w:tcPr>
          <w:p>
            <w:r>
              <w:rPr>
                <w:rFonts w:ascii="Times New Roman" w:hAnsi="Times New Roman"/>
                <w:color w:val="000000"/>
                <w:sz w:val="24"/>
              </w:rPr>
              <w:t>Months 25-30</w:t>
            </w:r>
          </w:p>
        </w:tc>
      </w:tr>
      <w:tr>
        <w:tc>
          <w:tcPr>
            <w:tcW w:type="dxa" w:w="2880"/>
          </w:tcPr>
          <w:p>
            <w:r>
              <w:rPr>
                <w:rFonts w:ascii="Times New Roman" w:hAnsi="Times New Roman"/>
                <w:color w:val="000000"/>
                <w:sz w:val="24"/>
              </w:rPr>
              <w:t>**Phase 7**</w:t>
            </w:r>
          </w:p>
        </w:tc>
        <w:tc>
          <w:tcPr>
            <w:tcW w:type="dxa" w:w="2880"/>
          </w:tcPr>
          <w:p>
            <w:r>
              <w:rPr>
                <w:rFonts w:ascii="Times New Roman" w:hAnsi="Times New Roman"/>
                <w:color w:val="000000"/>
                <w:sz w:val="24"/>
              </w:rPr>
              <w:t>Review, revision, defense</w:t>
            </w:r>
          </w:p>
        </w:tc>
        <w:tc>
          <w:tcPr>
            <w:tcW w:type="dxa" w:w="2880"/>
          </w:tcPr>
          <w:p>
            <w:r>
              <w:rPr>
                <w:rFonts w:ascii="Times New Roman" w:hAnsi="Times New Roman"/>
                <w:color w:val="000000"/>
                <w:sz w:val="24"/>
              </w:rPr>
              <w:t>Months 31-36</w:t>
            </w:r>
          </w:p>
        </w:tc>
      </w:tr>
    </w:tbl>
    <w:p>
      <w:pPr>
        <w:spacing w:line="360" w:lineRule="auto" w:before="0" w:after="120"/>
        <w:jc w:val="both"/>
      </w:pPr>
      <w:r>
        <w:rPr>
          <w:rFonts w:ascii="Times New Roman" w:hAnsi="Times New Roman" w:eastAsia="Times New Roman"/>
          <w:color w:val="000000"/>
          <w:sz w:val="24"/>
        </w:rPr>
      </w:r>
    </w:p>
    <w:p>
      <w:pPr>
        <w:pStyle w:val="Heading3"/>
      </w:pPr>
      <w:r>
        <w:t>5.3.2 Key Milestones</w:t>
      </w:r>
    </w:p>
    <w:p/>
    <w:p>
      <w:pPr>
        <w:spacing w:line="360" w:lineRule="auto" w:before="0" w:after="120"/>
        <w:jc w:val="both"/>
      </w:pPr>
      <w:r>
        <w:rPr>
          <w:rFonts w:ascii="Times New Roman" w:hAnsi="Times New Roman" w:eastAsia="Times New Roman"/>
          <w:color w:val="000000"/>
          <w:sz w:val="24"/>
        </w:rPr>
        <w:t xml:space="preserve">1. </w:t>
      </w:r>
      <w:r>
        <w:rPr>
          <w:rFonts w:ascii="Times New Roman" w:hAnsi="Times New Roman" w:eastAsia="Times New Roman"/>
          <w:b/>
          <w:color w:val="000000"/>
          <w:sz w:val="24"/>
        </w:rPr>
        <w:t>Month 6</w:t>
      </w:r>
      <w:r>
        <w:rPr>
          <w:rFonts w:ascii="Times New Roman" w:hAnsi="Times New Roman" w:eastAsia="Times New Roman"/>
          <w:color w:val="000000"/>
          <w:sz w:val="24"/>
        </w:rPr>
        <w:t>: Data QC complete, petrophysical analysis complete</w:t>
      </w:r>
    </w:p>
    <w:p>
      <w:pPr>
        <w:spacing w:line="360" w:lineRule="auto" w:before="0" w:after="120"/>
        <w:jc w:val="both"/>
      </w:pPr>
      <w:r>
        <w:rPr>
          <w:rFonts w:ascii="Times New Roman" w:hAnsi="Times New Roman" w:eastAsia="Times New Roman"/>
          <w:color w:val="000000"/>
          <w:sz w:val="24"/>
        </w:rPr>
        <w:t xml:space="preserve">2. </w:t>
      </w:r>
      <w:r>
        <w:rPr>
          <w:rFonts w:ascii="Times New Roman" w:hAnsi="Times New Roman" w:eastAsia="Times New Roman"/>
          <w:b/>
          <w:color w:val="000000"/>
          <w:sz w:val="24"/>
        </w:rPr>
        <w:t>Month 12</w:t>
      </w:r>
      <w:r>
        <w:rPr>
          <w:rFonts w:ascii="Times New Roman" w:hAnsi="Times New Roman" w:eastAsia="Times New Roman"/>
          <w:color w:val="000000"/>
          <w:sz w:val="24"/>
        </w:rPr>
        <w:t>: Well ties established, horizons mapped</w:t>
      </w:r>
    </w:p>
    <w:p>
      <w:pPr>
        <w:spacing w:line="360" w:lineRule="auto" w:before="0" w:after="120"/>
        <w:jc w:val="both"/>
      </w:pPr>
      <w:r>
        <w:rPr>
          <w:rFonts w:ascii="Times New Roman" w:hAnsi="Times New Roman" w:eastAsia="Times New Roman"/>
          <w:color w:val="000000"/>
          <w:sz w:val="24"/>
        </w:rPr>
        <w:t xml:space="preserve">3. </w:t>
      </w:r>
      <w:r>
        <w:rPr>
          <w:rFonts w:ascii="Times New Roman" w:hAnsi="Times New Roman" w:eastAsia="Times New Roman"/>
          <w:b/>
          <w:color w:val="000000"/>
          <w:sz w:val="24"/>
        </w:rPr>
        <w:t>Month 18</w:t>
      </w:r>
      <w:r>
        <w:rPr>
          <w:rFonts w:ascii="Times New Roman" w:hAnsi="Times New Roman" w:eastAsia="Times New Roman"/>
          <w:color w:val="000000"/>
          <w:sz w:val="24"/>
        </w:rPr>
        <w:t>: Attributes extracted, faults characterized</w:t>
      </w:r>
    </w:p>
    <w:p>
      <w:pPr>
        <w:spacing w:line="360" w:lineRule="auto" w:before="0" w:after="120"/>
        <w:jc w:val="both"/>
      </w:pPr>
      <w:r>
        <w:rPr>
          <w:rFonts w:ascii="Times New Roman" w:hAnsi="Times New Roman" w:eastAsia="Times New Roman"/>
          <w:color w:val="000000"/>
          <w:sz w:val="24"/>
        </w:rPr>
        <w:t xml:space="preserve">4. </w:t>
      </w:r>
      <w:r>
        <w:rPr>
          <w:rFonts w:ascii="Times New Roman" w:hAnsi="Times New Roman" w:eastAsia="Times New Roman"/>
          <w:b/>
          <w:color w:val="000000"/>
          <w:sz w:val="24"/>
        </w:rPr>
        <w:t>Month 24</w:t>
      </w:r>
      <w:r>
        <w:rPr>
          <w:rFonts w:ascii="Times New Roman" w:hAnsi="Times New Roman" w:eastAsia="Times New Roman"/>
          <w:color w:val="000000"/>
          <w:sz w:val="24"/>
        </w:rPr>
        <w:t>: Prospects identified, volumetrics complete</w:t>
      </w:r>
    </w:p>
    <w:p>
      <w:pPr>
        <w:spacing w:line="360" w:lineRule="auto" w:before="0" w:after="120"/>
        <w:jc w:val="both"/>
      </w:pPr>
      <w:r>
        <w:rPr>
          <w:rFonts w:ascii="Times New Roman" w:hAnsi="Times New Roman" w:eastAsia="Times New Roman"/>
          <w:color w:val="000000"/>
          <w:sz w:val="24"/>
        </w:rPr>
        <w:t xml:space="preserve">5. </w:t>
      </w:r>
      <w:r>
        <w:rPr>
          <w:rFonts w:ascii="Times New Roman" w:hAnsi="Times New Roman" w:eastAsia="Times New Roman"/>
          <w:b/>
          <w:color w:val="000000"/>
          <w:sz w:val="24"/>
        </w:rPr>
        <w:t>Month 30</w:t>
      </w:r>
      <w:r>
        <w:rPr>
          <w:rFonts w:ascii="Times New Roman" w:hAnsi="Times New Roman" w:eastAsia="Times New Roman"/>
          <w:color w:val="000000"/>
          <w:sz w:val="24"/>
        </w:rPr>
        <w:t>: Thesis draft complete</w:t>
      </w:r>
    </w:p>
    <w:p>
      <w:pPr>
        <w:spacing w:line="360" w:lineRule="auto" w:before="0" w:after="120"/>
        <w:jc w:val="both"/>
      </w:pPr>
      <w:r>
        <w:rPr>
          <w:rFonts w:ascii="Times New Roman" w:hAnsi="Times New Roman" w:eastAsia="Times New Roman"/>
          <w:color w:val="000000"/>
          <w:sz w:val="24"/>
        </w:rPr>
        <w:t xml:space="preserve">6. </w:t>
      </w:r>
      <w:r>
        <w:rPr>
          <w:rFonts w:ascii="Times New Roman" w:hAnsi="Times New Roman" w:eastAsia="Times New Roman"/>
          <w:b/>
          <w:color w:val="000000"/>
          <w:sz w:val="24"/>
        </w:rPr>
        <w:t>Month 36</w:t>
      </w:r>
      <w:r>
        <w:rPr>
          <w:rFonts w:ascii="Times New Roman" w:hAnsi="Times New Roman" w:eastAsia="Times New Roman"/>
          <w:color w:val="000000"/>
          <w:sz w:val="24"/>
        </w:rPr>
        <w:t>: Defense</w:t>
      </w:r>
    </w:p>
    <w:p/>
    <w:p>
      <w:pPr>
        <w:pStyle w:val="Heading2"/>
      </w:pPr>
      <w:r>
        <w:t>5.4 Resources Required</w:t>
      </w:r>
    </w:p>
    <w:p/>
    <w:p>
      <w:pPr>
        <w:pStyle w:val="Heading3"/>
      </w:pPr>
      <w:r>
        <w:t>5.4.1 Data Access</w:t>
      </w:r>
    </w:p>
    <w:p/>
    <w:p>
      <w:pPr>
        <w:pStyle w:val="ListBullet"/>
        <w:spacing w:line="360" w:lineRule="auto" w:before="0" w:after="120"/>
      </w:pPr>
      <w:r>
        <w:rPr>
          <w:rFonts w:ascii="Times New Roman" w:hAnsi="Times New Roman" w:eastAsia="Times New Roman"/>
          <w:color w:val="000000"/>
          <w:sz w:val="24"/>
        </w:rPr>
        <w:t>3D seismic volume (available through NNPC/DPR)</w:t>
      </w:r>
    </w:p>
    <w:p>
      <w:pPr>
        <w:pStyle w:val="ListBullet"/>
        <w:spacing w:line="360" w:lineRule="auto" w:before="0" w:after="120"/>
      </w:pPr>
      <w:r>
        <w:rPr>
          <w:rFonts w:ascii="Times New Roman" w:hAnsi="Times New Roman" w:eastAsia="Times New Roman"/>
          <w:color w:val="000000"/>
          <w:sz w:val="24"/>
        </w:rPr>
        <w:t>Well logs (available through NNPC/DPR)</w:t>
      </w:r>
    </w:p>
    <w:p>
      <w:pPr>
        <w:pStyle w:val="ListBullet"/>
        <w:spacing w:line="360" w:lineRule="auto" w:before="0" w:after="120"/>
      </w:pPr>
      <w:r>
        <w:rPr>
          <w:rFonts w:ascii="Times New Roman" w:hAnsi="Times New Roman" w:eastAsia="Times New Roman"/>
          <w:color w:val="000000"/>
          <w:sz w:val="24"/>
        </w:rPr>
        <w:t>Published literature and maps</w:t>
      </w:r>
    </w:p>
    <w:p/>
    <w:p>
      <w:pPr>
        <w:pStyle w:val="Heading3"/>
      </w:pPr>
      <w:r>
        <w:t>5.4.2 Computing Resources</w:t>
      </w:r>
    </w:p>
    <w:p/>
    <w:p>
      <w:pPr>
        <w:pStyle w:val="ListBullet"/>
        <w:spacing w:line="360" w:lineRule="auto" w:before="0" w:after="120"/>
      </w:pPr>
      <w:r>
        <w:rPr>
          <w:rFonts w:ascii="Times New Roman" w:hAnsi="Times New Roman" w:eastAsia="Times New Roman"/>
          <w:color w:val="000000"/>
          <w:sz w:val="24"/>
        </w:rPr>
        <w:t>Workstation with adequate storage for seismic data (~50 GB)</w:t>
      </w:r>
    </w:p>
    <w:p>
      <w:pPr>
        <w:pStyle w:val="ListBullet"/>
        <w:spacing w:line="360" w:lineRule="auto" w:before="0" w:after="120"/>
      </w:pPr>
      <w:r>
        <w:rPr>
          <w:rFonts w:ascii="Times New Roman" w:hAnsi="Times New Roman" w:eastAsia="Times New Roman"/>
          <w:color w:val="000000"/>
          <w:sz w:val="24"/>
        </w:rPr>
        <w:t>GPU capability for accelerated processing (optional but beneficial)</w:t>
      </w:r>
    </w:p>
    <w:p>
      <w:pPr>
        <w:pStyle w:val="ListBullet"/>
        <w:spacing w:line="360" w:lineRule="auto" w:before="0" w:after="120"/>
      </w:pPr>
      <w:r>
        <w:rPr>
          <w:rFonts w:ascii="Times New Roman" w:hAnsi="Times New Roman" w:eastAsia="Times New Roman"/>
          <w:color w:val="000000"/>
          <w:sz w:val="24"/>
        </w:rPr>
        <w:t>Software: Python with geoscience libraries (open source)</w:t>
      </w:r>
    </w:p>
    <w:p/>
    <w:p>
      <w:pPr>
        <w:pStyle w:val="Heading3"/>
      </w:pPr>
      <w:r>
        <w:t>5.4.3 Supervision and Training</w:t>
      </w:r>
    </w:p>
    <w:p/>
    <w:p>
      <w:pPr>
        <w:pStyle w:val="ListBullet"/>
        <w:spacing w:line="360" w:lineRule="auto" w:before="0" w:after="120"/>
      </w:pPr>
      <w:r>
        <w:rPr>
          <w:rFonts w:ascii="Times New Roman" w:hAnsi="Times New Roman" w:eastAsia="Times New Roman"/>
          <w:color w:val="000000"/>
          <w:sz w:val="24"/>
        </w:rPr>
        <w:t>Primary supervisor expertise in seismic interpretation</w:t>
      </w:r>
    </w:p>
    <w:p>
      <w:pPr>
        <w:pStyle w:val="ListBullet"/>
        <w:spacing w:line="360" w:lineRule="auto" w:before="0" w:after="120"/>
      </w:pPr>
      <w:r>
        <w:rPr>
          <w:rFonts w:ascii="Times New Roman" w:hAnsi="Times New Roman" w:eastAsia="Times New Roman"/>
          <w:color w:val="000000"/>
          <w:sz w:val="24"/>
        </w:rPr>
        <w:t>Access to industry practitioners for validation</w:t>
      </w:r>
    </w:p>
    <w:p>
      <w:pPr>
        <w:pStyle w:val="ListBullet"/>
        <w:spacing w:line="360" w:lineRule="auto" w:before="0" w:after="120"/>
      </w:pPr>
      <w:r>
        <w:rPr>
          <w:rFonts w:ascii="Times New Roman" w:hAnsi="Times New Roman" w:eastAsia="Times New Roman"/>
          <w:color w:val="000000"/>
          <w:sz w:val="24"/>
        </w:rPr>
        <w:t>Conference attendance for peer feedback</w:t>
      </w:r>
    </w:p>
    <w:p/>
    <w:p>
      <w:pPr>
        <w:pStyle w:val="Heading2"/>
      </w:pPr>
      <w:r>
        <w:t>5.5 Potential Challenges and Mitigation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color w:val="000000"/>
                <w:sz w:val="24"/>
              </w:rPr>
              <w:t>Challenge</w:t>
            </w:r>
          </w:p>
        </w:tc>
        <w:tc>
          <w:tcPr>
            <w:tcW w:type="dxa" w:w="4320"/>
          </w:tcPr>
          <w:p>
            <w:r>
              <w:rPr>
                <w:rFonts w:ascii="Times New Roman" w:hAnsi="Times New Roman"/>
                <w:color w:val="000000"/>
                <w:sz w:val="24"/>
              </w:rPr>
              <w:t>Mitigation Strategy</w:t>
            </w:r>
          </w:p>
        </w:tc>
      </w:tr>
      <w:tr>
        <w:tc>
          <w:tcPr>
            <w:tcW w:type="dxa" w:w="4320"/>
          </w:tcPr>
          <w:p>
            <w:r>
              <w:rPr>
                <w:rFonts w:ascii="Times New Roman" w:hAnsi="Times New Roman"/>
                <w:color w:val="000000"/>
                <w:sz w:val="24"/>
              </w:rPr>
              <w:t>Limited bandwidth of vintage seismic</w:t>
            </w:r>
          </w:p>
        </w:tc>
        <w:tc>
          <w:tcPr>
            <w:tcW w:type="dxa" w:w="4320"/>
          </w:tcPr>
          <w:p>
            <w:r>
              <w:rPr>
                <w:rFonts w:ascii="Times New Roman" w:hAnsi="Times New Roman"/>
                <w:color w:val="000000"/>
                <w:sz w:val="24"/>
              </w:rPr>
              <w:t>Accept resolution limitations, document confidence</w:t>
            </w:r>
          </w:p>
        </w:tc>
      </w:tr>
      <w:tr>
        <w:tc>
          <w:tcPr>
            <w:tcW w:type="dxa" w:w="4320"/>
          </w:tcPr>
          <w:p>
            <w:r>
              <w:rPr>
                <w:rFonts w:ascii="Times New Roman" w:hAnsi="Times New Roman"/>
                <w:color w:val="000000"/>
                <w:sz w:val="24"/>
              </w:rPr>
              <w:t>Poor well ties at some locations</w:t>
            </w:r>
          </w:p>
        </w:tc>
        <w:tc>
          <w:tcPr>
            <w:tcW w:type="dxa" w:w="4320"/>
          </w:tcPr>
          <w:p>
            <w:r>
              <w:rPr>
                <w:rFonts w:ascii="Times New Roman" w:hAnsi="Times New Roman"/>
                <w:color w:val="000000"/>
                <w:sz w:val="24"/>
              </w:rPr>
              <w:t>Report all ties, identify causes, use best ties for calibration</w:t>
            </w:r>
          </w:p>
        </w:tc>
      </w:tr>
      <w:tr>
        <w:tc>
          <w:tcPr>
            <w:tcW w:type="dxa" w:w="4320"/>
          </w:tcPr>
          <w:p>
            <w:r>
              <w:rPr>
                <w:rFonts w:ascii="Times New Roman" w:hAnsi="Times New Roman"/>
                <w:color w:val="000000"/>
                <w:sz w:val="24"/>
              </w:rPr>
              <w:t>No structural closures if basin is fault-dominated</w:t>
            </w:r>
          </w:p>
        </w:tc>
        <w:tc>
          <w:tcPr>
            <w:tcW w:type="dxa" w:w="4320"/>
          </w:tcPr>
          <w:p>
            <w:r>
              <w:rPr>
                <w:rFonts w:ascii="Times New Roman" w:hAnsi="Times New Roman"/>
                <w:color w:val="000000"/>
                <w:sz w:val="24"/>
              </w:rPr>
              <w:t>Focus on fault-bounded traps, document structural style</w:t>
            </w:r>
          </w:p>
        </w:tc>
      </w:tr>
      <w:tr>
        <w:tc>
          <w:tcPr>
            <w:tcW w:type="dxa" w:w="4320"/>
          </w:tcPr>
          <w:p>
            <w:r>
              <w:rPr>
                <w:rFonts w:ascii="Times New Roman" w:hAnsi="Times New Roman"/>
                <w:color w:val="000000"/>
                <w:sz w:val="24"/>
              </w:rPr>
              <w:t>Computational demands of large dataset</w:t>
            </w:r>
          </w:p>
        </w:tc>
        <w:tc>
          <w:tcPr>
            <w:tcW w:type="dxa" w:w="4320"/>
          </w:tcPr>
          <w:p>
            <w:r>
              <w:rPr>
                <w:rFonts w:ascii="Times New Roman" w:hAnsi="Times New Roman"/>
                <w:color w:val="000000"/>
                <w:sz w:val="24"/>
              </w:rPr>
              <w:t>Implement efficient algorithms, utilize GPU where available</w:t>
            </w:r>
          </w:p>
        </w:tc>
      </w:tr>
      <w:tr>
        <w:tc>
          <w:tcPr>
            <w:tcW w:type="dxa" w:w="4320"/>
          </w:tcPr>
          <w:p>
            <w:r>
              <w:rPr>
                <w:rFonts w:ascii="Times New Roman" w:hAnsi="Times New Roman"/>
                <w:color w:val="000000"/>
                <w:sz w:val="24"/>
              </w:rPr>
              <w:t>Data access restrictions</w:t>
            </w:r>
          </w:p>
        </w:tc>
        <w:tc>
          <w:tcPr>
            <w:tcW w:type="dxa" w:w="4320"/>
          </w:tcPr>
          <w:p>
            <w:r>
              <w:rPr>
                <w:rFonts w:ascii="Times New Roman" w:hAnsi="Times New Roman"/>
                <w:color w:val="000000"/>
                <w:sz w:val="24"/>
              </w:rPr>
              <w:t>Work with regulatory bodies, use approved data releases</w:t>
            </w:r>
          </w:p>
        </w:tc>
      </w:tr>
    </w:tbl>
    <w:p>
      <w:pPr>
        <w:spacing w:line="360" w:lineRule="auto" w:before="0" w:after="120"/>
        <w:jc w:val="both"/>
      </w:pPr>
      <w:r>
        <w:rPr>
          <w:rFonts w:ascii="Times New Roman" w:hAnsi="Times New Roman" w:eastAsia="Times New Roman"/>
          <w:color w:val="000000"/>
          <w:sz w:val="24"/>
        </w:rPr>
      </w:r>
    </w:p>
    <w:p>
      <w:pPr>
        <w:pStyle w:val="Heading2"/>
      </w:pPr>
      <w:r>
        <w:t>5.6 Conclusion</w:t>
      </w:r>
    </w:p>
    <w:p/>
    <w:p>
      <w:pPr>
        <w:spacing w:line="360" w:lineRule="auto" w:before="0" w:after="120"/>
        <w:jc w:val="both"/>
      </w:pPr>
      <w:r>
        <w:rPr>
          <w:rFonts w:ascii="Times New Roman" w:hAnsi="Times New Roman" w:eastAsia="Times New Roman"/>
          <w:color w:val="000000"/>
          <w:sz w:val="24"/>
        </w:rPr>
        <w:t>This research addresses a significant gap in understanding the petroleum potential of the Bornu Chad Basin through comprehensive seismic interpretation and reservoir characterization. By combining conventional geophysical methods with modern computational approaches and pioneering the integration of Large Language Models into the interpretation workflow, the study will produce quantitative, reproducible interpretation products that advance both scientific knowledge and practical exploration guidance.</w:t>
      </w:r>
    </w:p>
    <w:p/>
    <w:p>
      <w:pPr>
        <w:spacing w:line="360" w:lineRule="auto" w:before="0" w:after="120"/>
        <w:jc w:val="both"/>
      </w:pPr>
      <w:r>
        <w:rPr>
          <w:rFonts w:ascii="Times New Roman" w:hAnsi="Times New Roman" w:eastAsia="Times New Roman"/>
          <w:color w:val="000000"/>
          <w:sz w:val="24"/>
        </w:rPr>
        <w:t>The research is justified by:</w:t>
      </w:r>
    </w:p>
    <w:p>
      <w:pPr>
        <w:pStyle w:val="ListBullet"/>
        <w:spacing w:line="360" w:lineRule="auto" w:before="0" w:after="120"/>
      </w:pPr>
      <w:r>
        <w:rPr>
          <w:rFonts w:ascii="Times New Roman" w:hAnsi="Times New Roman" w:eastAsia="Times New Roman"/>
          <w:color w:val="000000"/>
          <w:sz w:val="24"/>
        </w:rPr>
        <w:t>The importance of the Bornu Chad Basin to Nigeria's energy future</w:t>
      </w:r>
    </w:p>
    <w:p>
      <w:pPr>
        <w:pStyle w:val="ListBullet"/>
        <w:spacing w:line="360" w:lineRule="auto" w:before="0" w:after="120"/>
      </w:pPr>
      <w:r>
        <w:rPr>
          <w:rFonts w:ascii="Times New Roman" w:hAnsi="Times New Roman" w:eastAsia="Times New Roman"/>
          <w:color w:val="000000"/>
          <w:sz w:val="24"/>
        </w:rPr>
        <w:t>The absence of comprehensive interpretation studies utilizing available 3D seismic data</w:t>
      </w:r>
    </w:p>
    <w:p>
      <w:pPr>
        <w:pStyle w:val="ListBullet"/>
        <w:spacing w:line="360" w:lineRule="auto" w:before="0" w:after="120"/>
      </w:pPr>
      <w:r>
        <w:rPr>
          <w:rFonts w:ascii="Times New Roman" w:hAnsi="Times New Roman" w:eastAsia="Times New Roman"/>
          <w:color w:val="000000"/>
          <w:sz w:val="24"/>
        </w:rPr>
        <w:t>The opportunity to demonstrate modern interpretation methods in a frontier setting</w:t>
      </w:r>
    </w:p>
    <w:p>
      <w:pPr>
        <w:pStyle w:val="ListBullet"/>
        <w:spacing w:line="360" w:lineRule="auto" w:before="0" w:after="120"/>
      </w:pPr>
      <w:r>
        <w:rPr>
          <w:rFonts w:ascii="Times New Roman" w:hAnsi="Times New Roman" w:eastAsia="Times New Roman"/>
          <w:color w:val="000000"/>
          <w:sz w:val="24"/>
        </w:rPr>
        <w:t>The potential for significant scientific and applied contributions</w:t>
      </w:r>
    </w:p>
    <w:p>
      <w:pPr>
        <w:pStyle w:val="ListBullet"/>
        <w:spacing w:line="360" w:lineRule="auto" w:before="0" w:after="120"/>
      </w:pPr>
      <w:r>
        <w:rPr>
          <w:rFonts w:ascii="Times New Roman" w:hAnsi="Times New Roman" w:eastAsia="Times New Roman"/>
          <w:color w:val="000000"/>
          <w:sz w:val="24"/>
        </w:rPr>
      </w:r>
      <w:r>
        <w:rPr>
          <w:rFonts w:ascii="Times New Roman" w:hAnsi="Times New Roman" w:eastAsia="Times New Roman"/>
          <w:b/>
          <w:color w:val="000000"/>
          <w:sz w:val="24"/>
        </w:rPr>
        <w:t>The transformative potential of LLM-assisted interpretation technology</w:t>
      </w:r>
      <w:r>
        <w:rPr>
          <w:rFonts w:ascii="Times New Roman" w:hAnsi="Times New Roman" w:eastAsia="Times New Roman"/>
          <w:color w:val="000000"/>
          <w:sz w:val="24"/>
        </w:rPr>
        <w:t>—representing a paradigm shift in how seismic data is analyzed and interpreted</w:t>
      </w:r>
    </w:p>
    <w:p/>
    <w:p>
      <w:pPr>
        <w:spacing w:line="360" w:lineRule="auto" w:before="0" w:after="120"/>
        <w:jc w:val="both"/>
      </w:pPr>
      <w:r>
        <w:rPr>
          <w:rFonts w:ascii="Times New Roman" w:hAnsi="Times New Roman" w:eastAsia="Times New Roman"/>
          <w:color w:val="000000"/>
          <w:sz w:val="24"/>
        </w:rPr>
        <w:t>Upon completion, this research will provide:</w:t>
      </w:r>
    </w:p>
    <w:p>
      <w:pPr>
        <w:pStyle w:val="ListBullet"/>
        <w:spacing w:line="360" w:lineRule="auto" w:before="0" w:after="120"/>
      </w:pPr>
      <w:r>
        <w:rPr>
          <w:rFonts w:ascii="Times New Roman" w:hAnsi="Times New Roman" w:eastAsia="Times New Roman"/>
          <w:color w:val="000000"/>
          <w:sz w:val="24"/>
        </w:rPr>
        <w:t>The most detailed structural and stratigraphic framework for the basin</w:t>
      </w:r>
    </w:p>
    <w:p>
      <w:pPr>
        <w:pStyle w:val="ListBullet"/>
        <w:spacing w:line="360" w:lineRule="auto" w:before="0" w:after="120"/>
      </w:pPr>
      <w:r>
        <w:rPr>
          <w:rFonts w:ascii="Times New Roman" w:hAnsi="Times New Roman" w:eastAsia="Times New Roman"/>
          <w:color w:val="000000"/>
          <w:sz w:val="24"/>
        </w:rPr>
        <w:t>Quantified prospect inventory with resource estimates</w:t>
      </w:r>
    </w:p>
    <w:p>
      <w:pPr>
        <w:pStyle w:val="ListBullet"/>
        <w:spacing w:line="360" w:lineRule="auto" w:before="0" w:after="120"/>
      </w:pPr>
      <w:r>
        <w:rPr>
          <w:rFonts w:ascii="Times New Roman" w:hAnsi="Times New Roman" w:eastAsia="Times New Roman"/>
          <w:color w:val="000000"/>
          <w:sz w:val="24"/>
        </w:rPr>
        <w:t>Documented workflows applicable to similar frontier basins</w:t>
      </w:r>
    </w:p>
    <w:p>
      <w:pPr>
        <w:pStyle w:val="ListBullet"/>
        <w:spacing w:line="360" w:lineRule="auto" w:before="0" w:after="120"/>
      </w:pPr>
      <w:r>
        <w:rPr>
          <w:rFonts w:ascii="Times New Roman" w:hAnsi="Times New Roman" w:eastAsia="Times New Roman"/>
          <w:color w:val="000000"/>
          <w:sz w:val="24"/>
        </w:rPr>
        <w:t>Contribution to Nigeria's exploration knowledge base</w:t>
      </w:r>
    </w:p>
    <w:p>
      <w:pPr>
        <w:pStyle w:val="ListBullet"/>
        <w:spacing w:line="360" w:lineRule="auto" w:before="0" w:after="120"/>
      </w:pPr>
      <w:r>
        <w:rPr>
          <w:rFonts w:ascii="Times New Roman" w:hAnsi="Times New Roman" w:eastAsia="Times New Roman"/>
          <w:color w:val="000000"/>
          <w:sz w:val="24"/>
        </w:rPr>
      </w:r>
      <w:r>
        <w:rPr>
          <w:rFonts w:ascii="Times New Roman" w:hAnsi="Times New Roman" w:eastAsia="Times New Roman"/>
          <w:b/>
          <w:color w:val="000000"/>
          <w:sz w:val="24"/>
        </w:rPr>
        <w:t>The first LLM-assisted seismic interpretation framework</w:t>
      </w:r>
      <w:r>
        <w:rPr>
          <w:rFonts w:ascii="Times New Roman" w:hAnsi="Times New Roman" w:eastAsia="Times New Roman"/>
          <w:color w:val="000000"/>
          <w:sz w:val="24"/>
        </w:rPr>
        <w:t>—a technological contribution with applications far beyond this study area</w:t>
      </w:r>
    </w:p>
    <w:p/>
    <w:p>
      <w:pPr>
        <w:spacing w:line="360" w:lineRule="auto" w:before="0" w:after="120"/>
        <w:jc w:val="both"/>
      </w:pPr>
      <w:r>
        <w:rPr>
          <w:rFonts w:ascii="Times New Roman" w:hAnsi="Times New Roman" w:eastAsia="Times New Roman"/>
          <w:color w:val="000000"/>
          <w:sz w:val="24"/>
        </w:rPr>
        <w:t>The research is appropriately scoped for doctoral-level investigation, demonstrating originality, significance, rigor, and sufficient complexity to merit the award of Doctor of Philosophy in Geology. The combination of geological interpretation with cutting-edge AI technology positions this research at the intersection of petroleum geoscience and artificial intelligence, representing a significant contribution to both fields.</w:t>
      </w:r>
    </w:p>
    <w:p/>
    <w:p>
      <w:pPr>
        <w:pStyle w:val="Heading2"/>
      </w:pPr>
      <w:r>
        <w:t>5.7 Declaration</w:t>
      </w:r>
    </w:p>
    <w:p/>
    <w:p>
      <w:pPr>
        <w:spacing w:line="360" w:lineRule="auto" w:before="0" w:after="120"/>
        <w:jc w:val="both"/>
      </w:pPr>
      <w:r>
        <w:rPr>
          <w:rFonts w:ascii="Times New Roman" w:hAnsi="Times New Roman" w:eastAsia="Times New Roman"/>
          <w:color w:val="000000"/>
          <w:sz w:val="24"/>
        </w:rPr>
        <w:t>I hereby declare that this proposal represents original work and that I am committed to conducting this research with integrity, adhering to all ethical standards and institutional regulations.</w:t>
      </w:r>
    </w:p>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Research Title</w:t>
      </w:r>
      <w:r>
        <w:rPr>
          <w:rFonts w:ascii="Times New Roman" w:hAnsi="Times New Roman" w:eastAsia="Times New Roman"/>
          <w:color w:val="000000"/>
          <w:sz w:val="24"/>
        </w:rPr>
        <w:t>: AI-Augmented Seismic Interpretation and Reservoir Characterization of the Bornu Chad Basin, Nigeria: Development and Application of an LLM-Assisted Workflow</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Candidate</w:t>
      </w:r>
      <w:r>
        <w:rPr>
          <w:rFonts w:ascii="Times New Roman" w:hAnsi="Times New Roman" w:eastAsia="Times New Roman"/>
          <w:color w:val="000000"/>
          <w:sz w:val="24"/>
        </w:rPr>
        <w:t>: Moses Ekene Obasi</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Supervisor</w:t>
      </w:r>
      <w:r>
        <w:rPr>
          <w:rFonts w:ascii="Times New Roman" w:hAnsi="Times New Roman" w:eastAsia="Times New Roman"/>
          <w:color w:val="000000"/>
          <w:sz w:val="24"/>
        </w:rPr>
        <w:t>: Prof. Dominic Akam Obi</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Department</w:t>
      </w:r>
      <w:r>
        <w:rPr>
          <w:rFonts w:ascii="Times New Roman" w:hAnsi="Times New Roman" w:eastAsia="Times New Roman"/>
          <w:color w:val="000000"/>
          <w:sz w:val="24"/>
        </w:rPr>
        <w:t>: Department of Geology, University of Calabar</w:t>
      </w:r>
    </w:p>
    <w:p/>
    <w:p>
      <w:pPr>
        <w:spacing w:line="360" w:lineRule="auto" w:before="0" w:after="120"/>
        <w:jc w:val="both"/>
      </w:pPr>
      <w:r>
        <w:rPr>
          <w:rFonts w:ascii="Times New Roman" w:hAnsi="Times New Roman" w:eastAsia="Times New Roman"/>
          <w:color w:val="000000"/>
          <w:sz w:val="24"/>
        </w:rPr>
      </w:r>
      <w:r>
        <w:rPr>
          <w:rFonts w:ascii="Times New Roman" w:hAnsi="Times New Roman" w:eastAsia="Times New Roman"/>
          <w:b/>
          <w:color w:val="000000"/>
          <w:sz w:val="24"/>
        </w:rPr>
        <w:t>Date</w:t>
      </w:r>
      <w:r>
        <w:rPr>
          <w:rFonts w:ascii="Times New Roman" w:hAnsi="Times New Roman" w:eastAsia="Times New Roman"/>
          <w:color w:val="000000"/>
          <w:sz w:val="24"/>
        </w:rPr>
        <w:t>: 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