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E7880"/>
          <w:sz w:val="18"/>
        </w:rPr>
        <w:t>JAPANESE LEARNING HUB</w:t>
      </w:r>
    </w:p>
    <w:p>
      <w:pPr>
        <w:pStyle w:val="Title"/>
      </w:pPr>
      <w:r>
        <w:t>Front-End &amp; UI Specification</w:t>
      </w:r>
    </w:p>
    <w:p>
      <w:r>
        <w:rPr>
          <w:color w:val="607080"/>
          <w:sz w:val="18"/>
        </w:rPr>
        <w:t>v1.0 · 9 September 2026</w:t>
      </w:r>
    </w:p>
    <w:p>
      <w:r>
        <w:rPr>
          <w:color w:val="1D2E43"/>
          <w:sz w:val="22"/>
        </w:rPr>
        <w:t>Authoritative naming, layout, component and visual-system reference for future UI work.</w:t>
      </w:r>
    </w:p>
    <w:p>
      <w:pPr>
        <w:pBdr>
          <w:bottom w:val="single" w:sz="8" w:space="1" w:color="0E7880"/>
        </w:pBdr>
      </w:pPr>
    </w:p>
    <w:p>
      <w:pPr>
        <w:pStyle w:val="Heading1"/>
        <w:spacing w:before="160" w:after="60"/>
      </w:pPr>
    </w:p>
    <w:p>
      <w:pPr>
        <w:spacing w:after="60" w:line="252" w:lineRule="auto"/>
      </w:pPr>
      <w:r>
        <w:t>This document defines the shared visual language, layout rules, component terminology, responsive behaviour, and route-level expectations for the Japanese Learning Hub.</w:t>
      </w:r>
    </w:p>
    <w:p>
      <w:pPr>
        <w:spacing w:after="60" w:line="252" w:lineRule="auto"/>
      </w:pPr>
      <w:r>
        <w:t>It is intended to remove ambiguity when discussing future changes. A request such as “make the Grammar Cards tighter” or “the Resource Actions are too prominent” should refer to the named components in this specification.</w:t>
      </w:r>
    </w:p>
    <w:p>
      <w:pPr>
        <w:spacing w:after="60" w:line="252" w:lineRule="auto"/>
      </w:pPr>
      <w:r>
        <w:rPr>
          <w:b/>
          <w:color w:val="1D2E43"/>
        </w:rPr>
        <w:t>Production CSS source of truth:</w:t>
      </w:r>
      <w:r>
        <w:t xml:space="preserve"> styles.css</w:t>
      </w:r>
    </w:p>
    <w:p>
      <w:pPr>
        <w:spacing w:after="60" w:line="252" w:lineRule="auto"/>
      </w:pPr>
      <w:r>
        <w:t>The application should not depend on successive override stylesheets. Specialist CSS may remain separate only for genuinely isolated source-rendering content and must not redefine the app shell, page widths, cards or buttons.</w:t>
      </w:r>
    </w:p>
    <w:p>
      <w:pPr>
        <w:pStyle w:val="Heading1"/>
        <w:spacing w:before="160" w:after="60"/>
      </w:pPr>
    </w:p>
    <w:p>
      <w:pPr>
        <w:pStyle w:val="ListBullet"/>
        <w:spacing w:after="20"/>
      </w:pPr>
      <w:r>
        <w:t>Calm, academic, modern study application.</w:t>
      </w:r>
    </w:p>
    <w:p>
      <w:pPr>
        <w:pStyle w:val="ListBullet"/>
        <w:spacing w:after="20"/>
      </w:pPr>
      <w:r>
        <w:t>Warm off-white background, dark navy text, teal accent and restrained muted colours.</w:t>
      </w:r>
    </w:p>
    <w:p>
      <w:pPr>
        <w:pStyle w:val="ListBullet"/>
        <w:spacing w:after="20"/>
      </w:pPr>
      <w:r>
        <w:t>Subtle borders; very light or no shadows.</w:t>
      </w:r>
    </w:p>
    <w:p>
      <w:pPr>
        <w:pStyle w:val="ListBullet"/>
        <w:spacing w:after="20"/>
      </w:pPr>
      <w:r>
        <w:t>Flat cards with hierarchy created by spacing, typography and tinted surfaces.</w:t>
      </w:r>
    </w:p>
    <w:p>
      <w:pPr>
        <w:pStyle w:val="ListBullet"/>
        <w:spacing w:after="20"/>
      </w:pPr>
      <w:r>
        <w:t>Compact controls; avoid oversized call-to-action buttons.</w:t>
      </w:r>
    </w:p>
    <w:p>
      <w:pPr>
        <w:pStyle w:val="ListBullet"/>
        <w:spacing w:after="20"/>
      </w:pPr>
      <w:r>
        <w:t>Avoid nested card-within-card visual clutter.</w:t>
      </w:r>
    </w:p>
    <w:p>
      <w:pPr>
        <w:pStyle w:val="ListBullet"/>
        <w:spacing w:after="20"/>
      </w:pPr>
      <w:r>
        <w:t>Light and dark themes keep identical geometry; only colour and surface tokens change.</w:t>
      </w:r>
    </w:p>
    <w:p>
      <w:pPr>
        <w:pStyle w:val="Heading1"/>
        <w:spacing w:before="160" w:after="6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App Shell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Persistent brand, desktop nav, utility nav, account controls, mobile bottom nav and More menu.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Page Shell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Common content frame and gutters used by every route.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Page Hero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route header below the App Shell.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Section Header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Heading for a major page section; may include icon/subtitle and Hub collapse control.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Surface Card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Default reusable content card.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Compact Card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Inset/sub-item card used inside a section.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Article Card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Reading-oriented container for long-form content.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Resource Row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Horizontal reference/resource item with title/description and right-side action.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Status Badge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Non-interactive state pill: Matched, Related, Pending, Active, Optional, etc.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Resource Action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Shared compact action used for Open reference / Open examples / Open / Open practice.</w:t>
            </w:r>
          </w:p>
        </w:tc>
      </w:tr>
    </w:tbl>
    <w:p>
      <w:pPr>
        <w:spacing w:after="20"/>
      </w:pPr>
    </w:p>
    <w:p>
      <w:pPr>
        <w:pStyle w:val="Heading1"/>
        <w:spacing w:before="160" w:after="6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Application content max-width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~1216 px desktop baseline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Readable article width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~880–960 px, inside the normal Page Shell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Desktop page gutter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~20–24 px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Tablet gutter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~16–20 px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Mobile gutter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~10–14 px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Major route block gap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14–18 px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Card-to-card gap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8–12 px</w:t>
            </w:r>
          </w:p>
        </w:tc>
      </w:tr>
    </w:tbl>
    <w:p>
      <w:pPr>
        <w:spacing w:after="20"/>
      </w:pPr>
    </w:p>
    <w:p>
      <w:pPr>
        <w:spacing w:after="60" w:line="252" w:lineRule="auto"/>
      </w:pPr>
      <w:r>
        <w:t>A narrower reading column must not cause a narrower route hero. The Page Hero stays aligned with the common Page Shell; only the long-form body may become narrower.</w:t>
      </w:r>
    </w:p>
    <w:p>
      <w:pPr>
        <w:pStyle w:val="Heading1"/>
        <w:spacing w:before="160" w:after="6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Page Hero / major section radius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~16 px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Surface Card radius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~12–14 px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Compact Card / Resource Row radius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~10–12 px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Button radius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~8–9 px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Badge radius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pill / 999 px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Standard card padding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16 px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Compact card padding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12–14 px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Resource row padding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10–12 px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Page Hero padding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18–20 px desktop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Desktop control height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34–36 px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Mobile touch target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40 px minimum</w:t>
            </w:r>
          </w:p>
        </w:tc>
      </w:tr>
    </w:tbl>
    <w:p>
      <w:pPr>
        <w:spacing w:after="20"/>
      </w:pPr>
    </w:p>
    <w:p>
      <w:pPr>
        <w:spacing w:after="60" w:line="252" w:lineRule="auto"/>
      </w:pPr>
      <w:r>
        <w:t>Do not allow routes to independently invent 12 / 14 / 16 / 18 / 20 / 28 px padding systems.</w:t>
      </w:r>
    </w:p>
    <w:p>
      <w:pPr>
        <w:pStyle w:val="Heading1"/>
        <w:spacing w:before="160" w:after="60"/>
      </w:pPr>
    </w:p>
    <w:p>
      <w:pPr>
        <w:spacing w:after="60" w:line="252" w:lineRule="auto"/>
      </w:pPr>
      <w:r>
        <w:rPr>
          <w:b/>
          <w:color w:val="1D2E43"/>
        </w:rPr>
        <w:t>Eyebrow:</w:t>
      </w:r>
      <w:r>
        <w:t xml:space="preserve"> Uppercase, teal, small, letter-spaced, strong weight.</w:t>
      </w:r>
    </w:p>
    <w:p>
      <w:pPr>
        <w:spacing w:after="60" w:line="252" w:lineRule="auto"/>
      </w:pPr>
      <w:r>
        <w:rPr>
          <w:b/>
          <w:color w:val="1D2E43"/>
        </w:rPr>
        <w:t>Page title:</w:t>
      </w:r>
      <w:r>
        <w:t xml:space="preserve"> Dark navy, bold, compact line-height; consistent scale across routes.</w:t>
      </w:r>
    </w:p>
    <w:p>
      <w:pPr>
        <w:spacing w:after="60" w:line="252" w:lineRule="auto"/>
      </w:pPr>
      <w:r>
        <w:rPr>
          <w:b/>
          <w:color w:val="1D2E43"/>
        </w:rPr>
        <w:t>Subtitle:</w:t>
      </w:r>
      <w:r>
        <w:t xml:space="preserve"> Muted, normal weight, approximately 1 rem.</w:t>
      </w:r>
    </w:p>
    <w:p>
      <w:pPr>
        <w:spacing w:after="60" w:line="252" w:lineRule="auto"/>
      </w:pPr>
      <w:r>
        <w:rPr>
          <w:b/>
          <w:color w:val="1D2E43"/>
        </w:rPr>
        <w:t>Section title:</w:t>
      </w:r>
      <w:r>
        <w:t xml:space="preserve"> Bold, approximately 1.05–1.2 rem; may pair with small teal-tinted icon.</w:t>
      </w:r>
    </w:p>
    <w:p>
      <w:pPr>
        <w:spacing w:after="60" w:line="252" w:lineRule="auto"/>
      </w:pPr>
      <w:r>
        <w:rPr>
          <w:b/>
          <w:color w:val="1D2E43"/>
        </w:rPr>
        <w:t>Card title:</w:t>
      </w:r>
      <w:r>
        <w:t xml:space="preserve"> Bold and subordinate to section heading; Japanese study targets may be larger.</w:t>
      </w:r>
    </w:p>
    <w:p>
      <w:pPr>
        <w:spacing w:after="60" w:line="252" w:lineRule="auto"/>
      </w:pPr>
      <w:r>
        <w:rPr>
          <w:b/>
          <w:color w:val="1D2E43"/>
        </w:rPr>
        <w:t>Metadata:</w:t>
      </w:r>
      <w:r>
        <w:t xml:space="preserve"> Muted and smaller; never compete with body text.</w:t>
      </w:r>
    </w:p>
    <w:p>
      <w:pPr>
        <w:pStyle w:val="Heading1"/>
        <w:spacing w:before="160" w:after="60"/>
      </w:pPr>
    </w:p>
    <w:p>
      <w:pPr>
        <w:spacing w:after="60" w:line="252" w:lineRule="auto"/>
      </w:pPr>
      <w:r>
        <w:t>All actions derive from a small set of control primitives. Equivalent actions must use the same shared class rather than route-specific selectors.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Primary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Single main action in a context; navy fill, white text.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Secondary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Ordinary action; light surface, restrained border, navy text.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Ghost / text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Low-emphasis actions such as Clear filters or Back.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Icon-only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Only for obvious utility actions with accessible label/tooltip.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Resource Action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Open reference / Open examples / Open / Open practice — identical geometry.</w:t>
            </w:r>
          </w:p>
        </w:tc>
      </w:tr>
    </w:tbl>
    <w:p>
      <w:pPr>
        <w:spacing w:after="20"/>
      </w:pPr>
    </w:p>
    <w:p>
      <w:pPr>
        <w:spacing w:after="60" w:line="252" w:lineRule="auto"/>
      </w:pPr>
      <w:r>
        <w:t>Resource actions should expose one shared class such as resource-action. Do not style equivalent controls separately based on whether the element is a button, anchor or summary child.</w:t>
      </w:r>
    </w:p>
    <w:p>
      <w:pPr>
        <w:pStyle w:val="Heading1"/>
        <w:spacing w:before="160" w:after="60"/>
      </w:pPr>
    </w:p>
    <w:p>
      <w:pPr>
        <w:pStyle w:val="ListBullet"/>
        <w:spacing w:after="20"/>
      </w:pPr>
      <w:r>
        <w:t>Same outer width and left/right alignment on every route.</w:t>
      </w:r>
    </w:p>
    <w:p>
      <w:pPr>
        <w:pStyle w:val="ListBullet"/>
        <w:spacing w:after="20"/>
      </w:pPr>
      <w:r>
        <w:t>Same radius, border and desktop padding.</w:t>
      </w:r>
    </w:p>
    <w:p>
      <w:pPr>
        <w:pStyle w:val="ListBullet"/>
        <w:spacing w:after="20"/>
      </w:pPr>
      <w:r>
        <w:t>Same eyebrow/title/subtitle hierarchy.</w:t>
      </w:r>
    </w:p>
    <w:p>
      <w:pPr>
        <w:pStyle w:val="ListBullet"/>
        <w:spacing w:after="20"/>
      </w:pPr>
      <w:r>
        <w:t>Optional right-side actions only when relevant.</w:t>
      </w:r>
    </w:p>
    <w:p>
      <w:pPr>
        <w:pStyle w:val="ListBullet"/>
        <w:spacing w:after="20"/>
      </w:pPr>
      <w:r>
        <w:t>Grammar, Repository, Hub and WaniKani heroes must line up when compared side by side.</w:t>
      </w:r>
    </w:p>
    <w:p>
      <w:pPr>
        <w:pStyle w:val="Heading1"/>
        <w:spacing w:before="160" w:after="60"/>
      </w:pPr>
    </w:p>
    <w:p>
      <w:pPr>
        <w:pStyle w:val="Heading2"/>
        <w:spacing w:before="100" w:after="60"/>
      </w:pPr>
    </w:p>
    <w:p>
      <w:pPr>
        <w:spacing w:after="60" w:line="252" w:lineRule="auto"/>
      </w:pPr>
      <w:r>
        <w:t>Default card for Dashboard panels, programmes, Hub resources, Repository entries, WaniKani panels and supplementary resources. Uses the shared border, radius and 16 px standard padding.</w:t>
      </w:r>
    </w:p>
    <w:p>
      <w:pPr>
        <w:pStyle w:val="Heading2"/>
        <w:spacing w:before="100" w:after="60"/>
      </w:pPr>
    </w:p>
    <w:p>
      <w:pPr>
        <w:spacing w:after="60" w:line="252" w:lineRule="auto"/>
      </w:pPr>
      <w:r>
        <w:t>Inset card for Grammar Forms/Variants, Reference Examples, course-occurrence rows, supplementary practice rows and correction-pattern items. Uses 12–14 px padding, soft surface and shared compact radius.</w:t>
      </w:r>
    </w:p>
    <w:p>
      <w:pPr>
        <w:pStyle w:val="Heading2"/>
        <w:spacing w:before="100" w:after="60"/>
      </w:pPr>
    </w:p>
    <w:p>
      <w:pPr>
        <w:spacing w:after="60" w:line="252" w:lineRule="auto"/>
      </w:pPr>
      <w:r>
        <w:t>Whole-card interaction uses a subtle border/surface hover. Avoid nested competing buttons unless the nested action is functionally necessary.</w:t>
      </w:r>
    </w:p>
    <w:p>
      <w:pPr>
        <w:pStyle w:val="Heading1"/>
        <w:spacing w:before="160" w:after="60"/>
      </w:pPr>
    </w:p>
    <w:p>
      <w:pPr>
        <w:pStyle w:val="Heading2"/>
        <w:spacing w:before="100" w:after="60"/>
      </w:pPr>
    </w:p>
    <w:p>
      <w:pPr>
        <w:pStyle w:val="ListBullet"/>
        <w:spacing w:after="20"/>
      </w:pPr>
      <w:r>
        <w:t>Small Font Awesome chevron on the left.</w:t>
      </w:r>
    </w:p>
    <w:p>
      <w:pPr>
        <w:pStyle w:val="ListBullet"/>
        <w:spacing w:after="20"/>
      </w:pPr>
      <w:r>
        <w:t>Section icon immediately after the chevron.</w:t>
      </w:r>
    </w:p>
    <w:p>
      <w:pPr>
        <w:pStyle w:val="ListBullet"/>
        <w:spacing w:after="20"/>
      </w:pPr>
      <w:r>
        <w:t>Title and optional subtitle follow.</w:t>
      </w:r>
    </w:p>
    <w:p>
      <w:pPr>
        <w:pStyle w:val="ListBullet"/>
        <w:spacing w:after="20"/>
      </w:pPr>
      <w:r>
        <w:t>Whole header is an accessible toggle using aria-expanded.</w:t>
      </w:r>
    </w:p>
    <w:p>
      <w:pPr>
        <w:pStyle w:val="ListBullet"/>
        <w:spacing w:after="20"/>
      </w:pPr>
      <w:r>
        <w:t>Collapsed state persists in localStorage.</w:t>
      </w:r>
    </w:p>
    <w:p>
      <w:pPr>
        <w:pStyle w:val="ListBullet"/>
        <w:spacing w:after="20"/>
      </w:pPr>
      <w:r>
        <w:t>New users see sections expanded by default.</w:t>
      </w:r>
    </w:p>
    <w:p>
      <w:pPr>
        <w:pStyle w:val="Heading2"/>
        <w:spacing w:before="100" w:after="6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Desktop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4 columns where viable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Tablet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3 columns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Mobile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2 columns where usable; otherwise 1</w:t>
            </w:r>
          </w:p>
        </w:tc>
      </w:tr>
    </w:tbl>
    <w:p>
      <w:pPr>
        <w:spacing w:after="20"/>
      </w:pPr>
    </w:p>
    <w:p>
      <w:pPr>
        <w:spacing w:after="60" w:line="252" w:lineRule="auto"/>
      </w:pPr>
      <w:r>
        <w:t>Book cover height should not dominate the card. Book cards should remain compact relative to Study Tools cards.</w:t>
      </w:r>
    </w:p>
    <w:p>
      <w:pPr>
        <w:pStyle w:val="Heading2"/>
        <w:spacing w:before="100" w:after="60"/>
      </w:pPr>
    </w:p>
    <w:p>
      <w:pPr>
        <w:spacing w:after="60" w:line="252" w:lineRule="auto"/>
      </w:pPr>
      <w:r>
        <w:t>Tool cards use small type/status badges, title, concise description and an optional compact secondary action. Browse exercises must never render as a large full-width CTA.</w:t>
      </w:r>
    </w:p>
    <w:p>
      <w:pPr>
        <w:pStyle w:val="Heading1"/>
        <w:spacing w:before="160" w:after="60"/>
      </w:pPr>
    </w:p>
    <w:p>
      <w:pPr>
        <w:spacing w:after="60" w:line="252" w:lineRule="auto"/>
      </w:pPr>
      <w:r>
        <w:t>The Repository list is a benchmark for the application shell: hero, filter surface and content cards should align to the same Page Shell gutters.</w:t>
      </w:r>
    </w:p>
    <w:p>
      <w:pPr>
        <w:pStyle w:val="ListBullet"/>
        <w:spacing w:after="20"/>
      </w:pPr>
      <w:r>
        <w:t>Repository Hero uses standard Page Hero geometry.</w:t>
      </w:r>
    </w:p>
    <w:p>
      <w:pPr>
        <w:pStyle w:val="ListBullet"/>
        <w:spacing w:after="20"/>
      </w:pPr>
      <w:r>
        <w:t>Filter Bar uses Surface Card geometry and shared input controls.</w:t>
      </w:r>
    </w:p>
    <w:p>
      <w:pPr>
        <w:pStyle w:val="ListBullet"/>
        <w:spacing w:after="20"/>
      </w:pPr>
      <w:r>
        <w:t>Repository Entry Cards use shared card padding/radius.</w:t>
      </w:r>
    </w:p>
    <w:p>
      <w:pPr>
        <w:pStyle w:val="ListBullet"/>
        <w:spacing w:after="20"/>
      </w:pPr>
      <w:r>
        <w:t>Correction Patterns sidebar uses Surface Card / Compact Card primitives.</w:t>
      </w:r>
    </w:p>
    <w:p>
      <w:pPr>
        <w:pStyle w:val="Heading1"/>
        <w:spacing w:before="160" w:after="60"/>
      </w:pPr>
    </w:p>
    <w:p>
      <w:pPr>
        <w:spacing w:after="60" w:line="252" w:lineRule="auto"/>
      </w:pPr>
      <w:r>
        <w:t>Grammar Cards are optimised for rapid scanning.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Top row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Canonical grammar + top-right Status Badge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Second line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Meaning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Footer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Matched-form or related information in subdued treatment</w:t>
            </w:r>
          </w:p>
        </w:tc>
      </w:tr>
    </w:tbl>
    <w:p>
      <w:pPr>
        <w:spacing w:after="20"/>
      </w:pPr>
    </w:p>
    <w:p>
      <w:pPr>
        <w:spacing w:after="60" w:line="252" w:lineRule="auto"/>
      </w:pPr>
      <w:r>
        <w:t>Matched, Related and Pending must be visually distinct. Status is a badge, not prose buried inside the explanation.</w:t>
      </w:r>
    </w:p>
    <w:p>
      <w:pPr>
        <w:spacing w:after="60" w:line="252" w:lineRule="auto"/>
      </w:pPr>
      <w:r>
        <w:t>Routes /grammar and /grammar/&lt;id&gt; highlight Grammar in the navigation, not Repository.</w:t>
      </w:r>
    </w:p>
    <w:p>
      <w:pPr>
        <w:pStyle w:val="Heading1"/>
        <w:spacing w:before="160" w:after="60"/>
      </w:pPr>
    </w:p>
    <w:p>
      <w:pPr>
        <w:spacing w:after="60" w:line="252" w:lineRule="auto"/>
      </w:pPr>
      <w:r>
        <w:t>The Grammar Guide is a reading-oriented page inside the normal Page Shell.</w:t>
      </w:r>
    </w:p>
    <w:p>
      <w:pPr>
        <w:pStyle w:val="Heading2"/>
        <w:spacing w:before="100" w:after="60"/>
      </w:pPr>
    </w:p>
    <w:p>
      <w:pPr>
        <w:pStyle w:val="ListBullet"/>
        <w:spacing w:after="20"/>
      </w:pPr>
      <w:r>
        <w:t>Page Hero</w:t>
      </w:r>
    </w:p>
    <w:p>
      <w:pPr>
        <w:pStyle w:val="ListBullet"/>
        <w:spacing w:after="20"/>
      </w:pPr>
      <w:r>
        <w:t>Optional Practice block</w:t>
      </w:r>
    </w:p>
    <w:p>
      <w:pPr>
        <w:pStyle w:val="ListBullet"/>
        <w:spacing w:after="20"/>
      </w:pPr>
      <w:r>
        <w:t>Main Grammar Article</w:t>
      </w:r>
    </w:p>
    <w:p>
      <w:pPr>
        <w:pStyle w:val="ListBullet"/>
        <w:spacing w:after="20"/>
      </w:pPr>
      <w:r>
        <w:t>My Examples</w:t>
      </w:r>
    </w:p>
    <w:p>
      <w:pPr>
        <w:pStyle w:val="ListBullet"/>
        <w:spacing w:after="20"/>
      </w:pPr>
      <w:r>
        <w:t>Reference Examples</w:t>
      </w:r>
    </w:p>
    <w:p>
      <w:pPr>
        <w:pStyle w:val="ListBullet"/>
        <w:spacing w:after="20"/>
      </w:pPr>
      <w:r>
        <w:t>Used in Your Books</w:t>
      </w:r>
    </w:p>
    <w:p>
      <w:pPr>
        <w:pStyle w:val="ListBullet"/>
        <w:spacing w:after="20"/>
      </w:pPr>
      <w:r>
        <w:t>Related Grammar</w:t>
      </w:r>
    </w:p>
    <w:p>
      <w:pPr>
        <w:pStyle w:val="ListBullet"/>
        <w:spacing w:after="20"/>
      </w:pPr>
      <w:r>
        <w:t>References &amp; Further Study</w:t>
      </w:r>
    </w:p>
    <w:p>
      <w:pPr>
        <w:spacing w:after="60" w:line="252" w:lineRule="auto"/>
      </w:pPr>
      <w:r>
        <w:t>All major blocks share the same outer alignment. A narrower readable text column may be used inside the content area.</w:t>
      </w:r>
    </w:p>
    <w:p>
      <w:pPr>
        <w:pStyle w:val="Heading2"/>
        <w:spacing w:before="100" w:after="60"/>
      </w:pPr>
    </w:p>
    <w:p>
      <w:pPr>
        <w:spacing w:after="60" w:line="252" w:lineRule="auto"/>
      </w:pPr>
      <w:r>
        <w:t>Contains Back to Grammar Library, GRAMMAR REFERENCE eyebrow, canonical form, concise meaning and compact metadata pills.</w:t>
      </w:r>
    </w:p>
    <w:p>
      <w:pPr>
        <w:pStyle w:val="Heading2"/>
        <w:spacing w:before="100" w:after="60"/>
      </w:pPr>
    </w:p>
    <w:p>
      <w:pPr>
        <w:spacing w:after="60" w:line="252" w:lineRule="auto"/>
      </w:pPr>
      <w:r>
        <w:t>Overview, Formation, Usage and nuance, Forms/Variants, Combined forms and Clarifications live in an Article Card. Section headings may use small Font Awesome icons.</w:t>
      </w:r>
    </w:p>
    <w:p>
      <w:pPr>
        <w:pStyle w:val="Heading2"/>
        <w:spacing w:before="100" w:after="60"/>
      </w:pPr>
    </w:p>
    <w:p>
      <w:pPr>
        <w:spacing w:after="60" w:line="252" w:lineRule="auto"/>
      </w:pPr>
      <w:r>
        <w:t>Forms/variants must use Compact Cards, never bare horizontal table rows.</w:t>
      </w:r>
    </w:p>
    <w:p>
      <w:pPr>
        <w:pStyle w:val="Heading2"/>
        <w:spacing w:before="100" w:after="60"/>
      </w:pPr>
    </w:p>
    <w:p>
      <w:pPr>
        <w:spacing w:after="60" w:line="252" w:lineRule="auto"/>
      </w:pPr>
      <w:r>
        <w:t>Each example uses the same Compact Card language as Variant Cards.</w:t>
      </w:r>
    </w:p>
    <w:p>
      <w:pPr>
        <w:pStyle w:val="Heading2"/>
        <w:spacing w:before="100" w:after="60"/>
      </w:pPr>
    </w:p>
    <w:p>
      <w:pPr>
        <w:spacing w:after="60" w:line="252" w:lineRule="auto"/>
      </w:pPr>
      <w:r>
        <w:t>Textbook occurrences use compact rows/cards with the course title on the left and LESSON / GRAMMAR metadata on the right.</w:t>
      </w:r>
    </w:p>
    <w:p>
      <w:pPr>
        <w:pStyle w:val="Heading2"/>
        <w:spacing w:before="100" w:after="60"/>
      </w:pPr>
    </w:p>
    <w:p>
      <w:pPr>
        <w:spacing w:after="60" w:line="252" w:lineRule="auto"/>
      </w:pPr>
      <w:r>
        <w:t>A Dictionary of Japanese Grammar, NINJAL and external dictionary references all use one Resource Row component with one Resource Action component.</w:t>
      </w:r>
    </w:p>
    <w:p>
      <w:pPr>
        <w:pStyle w:val="Heading1"/>
        <w:spacing w:before="160" w:after="60"/>
      </w:pPr>
    </w:p>
    <w:p>
      <w:pPr>
        <w:spacing w:after="60" w:line="252" w:lineRule="auto"/>
      </w:pPr>
      <w:r>
        <w:t>Supplementary resources remain independent of programme lifecycle.</w:t>
      </w:r>
    </w:p>
    <w:p>
      <w:pPr>
        <w:pStyle w:val="ListBullet"/>
        <w:spacing w:after="20"/>
      </w:pPr>
      <w:r>
        <w:t>Hub card: type badge, optional badge, Japanese title, English title, concise metadata and compact Browse exercises action.</w:t>
      </w:r>
    </w:p>
    <w:p>
      <w:pPr>
        <w:pStyle w:val="ListBullet"/>
        <w:spacing w:after="20"/>
      </w:pPr>
      <w:r>
        <w:t>Browser: search/filter, unit number, source heading, printed page, linked canonical grammar and compact Open practice action.</w:t>
      </w:r>
    </w:p>
    <w:p>
      <w:pPr>
        <w:pStyle w:val="ListBullet"/>
        <w:spacing w:after="20"/>
      </w:pPr>
      <w:r>
        <w:t>No mastery, confidence, SRS or required completion indicators.</w:t>
      </w:r>
    </w:p>
    <w:p>
      <w:pPr>
        <w:pStyle w:val="Heading1"/>
        <w:spacing w:before="160" w:after="60"/>
      </w:pPr>
    </w:p>
    <w:p>
      <w:pPr>
        <w:spacing w:after="60" w:line="252" w:lineRule="auto"/>
      </w:pPr>
      <w:r>
        <w:t>Existing functional behaviour remains authoritative: task-linked Pomodoro, inline audio/media persistence, Lesson Reference, private textbook new-tab opening, and task records limited to completion, notes and accumulated Pomodoro time.</w:t>
      </w:r>
    </w:p>
    <w:p>
      <w:pPr>
        <w:pStyle w:val="ListBullet"/>
        <w:spacing w:after="20"/>
      </w:pPr>
      <w:r>
        <w:t>Avoid nested bordered-card hierarchy on mobile.</w:t>
      </w:r>
    </w:p>
    <w:p>
      <w:pPr>
        <w:pStyle w:val="ListBullet"/>
        <w:spacing w:after="20"/>
      </w:pPr>
      <w:r>
        <w:t>Use spacing, section tint and typography to express task hierarchy.</w:t>
      </w:r>
    </w:p>
    <w:p>
      <w:pPr>
        <w:pStyle w:val="ListBullet"/>
        <w:spacing w:after="20"/>
      </w:pPr>
      <w:r>
        <w:t>Media controls and task actions use shared buttons.</w:t>
      </w:r>
    </w:p>
    <w:p>
      <w:pPr>
        <w:pStyle w:val="Heading1"/>
        <w:spacing w:before="160" w:after="60"/>
      </w:pPr>
    </w:p>
    <w:p>
      <w:pPr>
        <w:spacing w:after="60" w:line="252" w:lineRule="auto"/>
      </w:pPr>
      <w:r>
        <w:t>WaniKani may have route-specific charts and SRS data displays, but Page Hero, panels, controls, radii and padding derive from the shared visual system.</w:t>
      </w:r>
    </w:p>
    <w:p>
      <w:pPr>
        <w:pStyle w:val="Heading1"/>
        <w:spacing w:before="160" w:after="60"/>
      </w:pPr>
    </w:p>
    <w:p>
      <w:pPr>
        <w:spacing w:after="60" w:line="252" w:lineRule="auto"/>
      </w:pPr>
      <w:r>
        <w:t>Inputs, textareas and selects use one border, radius, font and focus-ring system. Mobile input font size should remain at least 16 px where required to prevent iOS focus zoom.</w:t>
      </w:r>
    </w:p>
    <w:p>
      <w:pPr>
        <w:pStyle w:val="Heading1"/>
        <w:spacing w:before="160" w:after="60"/>
      </w:pPr>
    </w:p>
    <w:p>
      <w:pPr>
        <w:spacing w:after="60" w:line="252" w:lineRule="auto"/>
      </w:pPr>
      <w:r>
        <w:t>Dark mode changes tokens, not geometry. Width, height, padding, radius, layout and control sizing remain identical to light mode.</w:t>
      </w:r>
    </w:p>
    <w:p>
      <w:pPr>
        <w:pStyle w:val="Heading1"/>
        <w:spacing w:before="160" w:after="6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Desktop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1440 px+ baseline; compact desktop navigation; centered Page Shell.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Tablet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Reduced columns; same hierarchy; no overflow.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Mobile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Bottom navigation + More sheet; no horizontal scroll; 40 px touch targets; flattened physical hierarchy.</w:t>
            </w:r>
          </w:p>
        </w:tc>
      </w:tr>
    </w:tbl>
    <w:p>
      <w:pPr>
        <w:spacing w:after="20"/>
      </w:pPr>
    </w:p>
    <w:p>
      <w:pPr>
        <w:pStyle w:val="Heading1"/>
        <w:spacing w:before="160" w:after="6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/ / dashboard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Home / Dashboard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programme overview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Plan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lesson list / guided lesson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Lessons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/books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Hub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Hub book grid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Book Library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Hub tools grid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Study tools &amp; input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/repository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Repository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Repository filters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Repository Filter Bar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Repository sentence/correction tiles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Repository Entry Cards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/grammar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Grammar Library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Grammar Library tiles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Grammar Cards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/grammar/&lt;id&gt;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Grammar Guide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Grammar guide top block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Grammar Hero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Overview / Formation / Usage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Grammar Article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Forms / variants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Variant Cards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Saved linked sentences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My Examples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Built-in grammar examples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Reference Examples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Textbook occurrence section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Used in Your Books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Dictionary/NINJAL/external section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References &amp; Further Study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One reference item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 Row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Right-side reference control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 Action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Workbook listing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Supplementary Resource Browser</w:t>
            </w:r>
          </w:p>
        </w:tc>
      </w:tr>
      <w:tr>
        <w:tc>
          <w:tcPr>
            <w:tcW w:type="dxa" w:w="5083"/>
            <w:shd w:fill="ECF3F2"/>
            <w:vAlign w:val="center"/>
          </w:tcPr>
          <w:p>
            <w:pPr>
              <w:spacing w:after="0"/>
            </w:pPr>
            <w:r>
              <w:rPr>
                <w:b/>
                <w:color w:val="1D2E43"/>
                <w:sz w:val="17"/>
              </w:rPr>
              <w:t>WaniKani route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7"/>
              </w:rPr>
              <w:t>WaniKani Dashboard</w:t>
            </w:r>
          </w:p>
        </w:tc>
      </w:tr>
    </w:tbl>
    <w:p>
      <w:pPr>
        <w:spacing w:after="20"/>
      </w:pPr>
    </w:p>
    <w:p>
      <w:pPr>
        <w:pStyle w:val="Heading1"/>
        <w:spacing w:before="160" w:after="60"/>
      </w:pPr>
    </w:p>
    <w:p>
      <w:pPr>
        <w:spacing w:after="60" w:line="252" w:lineRule="auto"/>
      </w:pPr>
      <w:r>
        <w:t>The application should prefer one production stylesheet: styles.css.</w:t>
      </w:r>
    </w:p>
    <w:p>
      <w:pPr>
        <w:spacing w:after="60" w:line="252" w:lineRule="auto"/>
      </w:pPr>
      <w:r>
        <w:t>Recommended internal organisation:</w:t>
      </w:r>
    </w:p>
    <w:p>
      <w:pPr>
        <w:pStyle w:val="ListBullet"/>
        <w:spacing w:after="20"/>
      </w:pPr>
      <w:r>
        <w:t>01 Tokens</w:t>
      </w:r>
    </w:p>
    <w:p>
      <w:pPr>
        <w:pStyle w:val="ListBullet"/>
        <w:spacing w:after="20"/>
      </w:pPr>
      <w:r>
        <w:t>02 Base / reset</w:t>
      </w:r>
    </w:p>
    <w:p>
      <w:pPr>
        <w:pStyle w:val="ListBullet"/>
        <w:spacing w:after="20"/>
      </w:pPr>
      <w:r>
        <w:t>03 App Shell</w:t>
      </w:r>
    </w:p>
    <w:p>
      <w:pPr>
        <w:pStyle w:val="ListBullet"/>
        <w:spacing w:after="20"/>
      </w:pPr>
      <w:r>
        <w:t>04 Typography</w:t>
      </w:r>
    </w:p>
    <w:p>
      <w:pPr>
        <w:pStyle w:val="ListBullet"/>
        <w:spacing w:after="20"/>
      </w:pPr>
      <w:r>
        <w:t>05 Buttons / controls</w:t>
      </w:r>
    </w:p>
    <w:p>
      <w:pPr>
        <w:pStyle w:val="ListBullet"/>
        <w:spacing w:after="20"/>
      </w:pPr>
      <w:r>
        <w:t>06 Page Shell / Heroes</w:t>
      </w:r>
    </w:p>
    <w:p>
      <w:pPr>
        <w:pStyle w:val="ListBullet"/>
        <w:spacing w:after="20"/>
      </w:pPr>
      <w:r>
        <w:t>07 Cards / surfaces</w:t>
      </w:r>
    </w:p>
    <w:p>
      <w:pPr>
        <w:pStyle w:val="ListBullet"/>
        <w:spacing w:after="20"/>
      </w:pPr>
      <w:r>
        <w:t>08 Forms</w:t>
      </w:r>
    </w:p>
    <w:p>
      <w:pPr>
        <w:pStyle w:val="ListBullet"/>
        <w:spacing w:after="20"/>
      </w:pPr>
      <w:r>
        <w:t>09 Home</w:t>
      </w:r>
    </w:p>
    <w:p>
      <w:pPr>
        <w:pStyle w:val="ListBullet"/>
        <w:spacing w:after="20"/>
      </w:pPr>
      <w:r>
        <w:t>10 Plan</w:t>
      </w:r>
    </w:p>
    <w:p>
      <w:pPr>
        <w:pStyle w:val="ListBullet"/>
        <w:spacing w:after="20"/>
      </w:pPr>
      <w:r>
        <w:t>11 Lessons</w:t>
      </w:r>
    </w:p>
    <w:p>
      <w:pPr>
        <w:pStyle w:val="ListBullet"/>
        <w:spacing w:after="20"/>
      </w:pPr>
      <w:r>
        <w:t>12 Hub</w:t>
      </w:r>
    </w:p>
    <w:p>
      <w:pPr>
        <w:pStyle w:val="ListBullet"/>
        <w:spacing w:after="20"/>
      </w:pPr>
      <w:r>
        <w:t>13 Repository</w:t>
      </w:r>
    </w:p>
    <w:p>
      <w:pPr>
        <w:pStyle w:val="ListBullet"/>
        <w:spacing w:after="20"/>
      </w:pPr>
      <w:r>
        <w:t>14 Grammar</w:t>
      </w:r>
    </w:p>
    <w:p>
      <w:pPr>
        <w:pStyle w:val="ListBullet"/>
        <w:spacing w:after="20"/>
      </w:pPr>
      <w:r>
        <w:t>15 Supplementary resources</w:t>
      </w:r>
    </w:p>
    <w:p>
      <w:pPr>
        <w:pStyle w:val="ListBullet"/>
        <w:spacing w:after="20"/>
      </w:pPr>
      <w:r>
        <w:t>16 WaniKani</w:t>
      </w:r>
    </w:p>
    <w:p>
      <w:pPr>
        <w:pStyle w:val="ListBullet"/>
        <w:spacing w:after="20"/>
      </w:pPr>
      <w:r>
        <w:t>17 Dialogs</w:t>
      </w:r>
    </w:p>
    <w:p>
      <w:pPr>
        <w:pStyle w:val="ListBullet"/>
        <w:spacing w:after="20"/>
      </w:pPr>
      <w:r>
        <w:t>18 Dark mode</w:t>
      </w:r>
    </w:p>
    <w:p>
      <w:pPr>
        <w:pStyle w:val="ListBullet"/>
        <w:spacing w:after="20"/>
      </w:pPr>
      <w:r>
        <w:t>19 Responsive</w:t>
      </w:r>
    </w:p>
    <w:p>
      <w:pPr>
        <w:spacing w:after="60" w:line="252" w:lineRule="auto"/>
      </w:pPr>
      <w:r>
        <w:t>Avoid override layers such as hub-polish.css or site-shell.css once their rules have been consolidated.</w:t>
      </w:r>
    </w:p>
    <w:p>
      <w:pPr>
        <w:spacing w:after="60" w:line="252" w:lineRule="auto"/>
      </w:pPr>
      <w:r>
        <w:t>A specialist stylesheet may remain only for genuinely isolated source-rendering content. It must not redefine application width, cards, buttons, heroes, navigation or global typography.</w:t>
      </w:r>
    </w:p>
    <w:p>
      <w:pPr>
        <w:pStyle w:val="Heading1"/>
        <w:spacing w:before="160" w:after="60"/>
      </w:pPr>
    </w:p>
    <w:p>
      <w:pPr>
        <w:spacing w:after="60" w:line="252" w:lineRule="auto"/>
      </w:pPr>
      <w:r>
        <w:t>Visually equivalent components must expose shared semantic classes.</w:t>
      </w:r>
    </w:p>
    <w:p>
      <w:r>
        <w:rPr>
          <w:b/>
          <w:color w:val="1D2E43"/>
        </w:rPr>
        <w:t>Preferred example:</w:t>
      </w:r>
    </w:p>
    <w:p>
      <w:pPr/>
      <w:r>
        <w:rPr>
          <w:rFonts w:ascii="Liberation Mono" w:hAnsi="Liberation Mono"/>
          <w:sz w:val="17"/>
        </w:rPr>
        <w:t>&lt;a class="resource-row"&gt; ... &lt;span class="resource-action"&gt;Open ↗&lt;/span&gt;&lt;/a&gt;</w:t>
      </w:r>
    </w:p>
    <w:p>
      <w:pPr>
        <w:spacing w:after="60" w:line="252" w:lineRule="auto"/>
      </w:pPr>
      <w:r>
        <w:t>Avoid CSS that identifies a component through incidental element structure such as details &gt; summary &gt; b or div + button.smallbtn.</w:t>
      </w:r>
    </w:p>
    <w:p>
      <w:pPr>
        <w:pStyle w:val="Heading1"/>
        <w:spacing w:before="160" w:after="60"/>
      </w:pPr>
    </w:p>
    <w:p>
      <w:pPr>
        <w:pStyle w:val="ListBullet"/>
        <w:spacing w:after="20"/>
      </w:pPr>
      <w:r>
        <w:t>Visible keyboard focus.</w:t>
      </w:r>
    </w:p>
    <w:p>
      <w:pPr>
        <w:pStyle w:val="ListBullet"/>
        <w:spacing w:after="20"/>
      </w:pPr>
      <w:r>
        <w:t>Semantic buttons for actions and links for navigation.</w:t>
      </w:r>
    </w:p>
    <w:p>
      <w:pPr>
        <w:pStyle w:val="ListBullet"/>
        <w:spacing w:after="20"/>
      </w:pPr>
      <w:r>
        <w:t>aria-expanded for collapse controls.</w:t>
      </w:r>
    </w:p>
    <w:p>
      <w:pPr>
        <w:pStyle w:val="ListBullet"/>
        <w:spacing w:after="20"/>
      </w:pPr>
      <w:r>
        <w:t>Accessible labels/tooltips for icon-only controls.</w:t>
      </w:r>
    </w:p>
    <w:p>
      <w:pPr>
        <w:pStyle w:val="ListBullet"/>
        <w:spacing w:after="20"/>
      </w:pPr>
      <w:r>
        <w:t>Sufficient contrast in both themes.</w:t>
      </w:r>
    </w:p>
    <w:p>
      <w:pPr>
        <w:pStyle w:val="ListBullet"/>
        <w:spacing w:after="20"/>
      </w:pPr>
      <w:r>
        <w:t>Mobile tap targets.</w:t>
      </w:r>
    </w:p>
    <w:p>
      <w:pPr>
        <w:pStyle w:val="ListBullet"/>
        <w:spacing w:after="20"/>
      </w:pPr>
      <w:r>
        <w:t>Status meaning conveyed by text as well as colour.</w:t>
      </w:r>
    </w:p>
    <w:p>
      <w:pPr>
        <w:pStyle w:val="Heading1"/>
        <w:spacing w:before="160" w:after="60"/>
      </w:pPr>
    </w:p>
    <w:p>
      <w:r>
        <w:rPr>
          <w:b/>
          <w:color w:val="0E7880"/>
        </w:rPr>
        <w:t>Alignment</w:t>
      </w:r>
    </w:p>
    <w:p>
      <w:pPr>
        <w:pStyle w:val="ListBullet2"/>
        <w:spacing w:after="20"/>
      </w:pPr>
      <w:r>
        <w:t>same route gutters</w:t>
      </w:r>
    </w:p>
    <w:p>
      <w:pPr>
        <w:pStyle w:val="ListBullet2"/>
        <w:spacing w:after="20"/>
      </w:pPr>
      <w:r>
        <w:t>same hero alignment</w:t>
      </w:r>
    </w:p>
    <w:p>
      <w:pPr>
        <w:pStyle w:val="ListBullet2"/>
        <w:spacing w:after="20"/>
      </w:pPr>
      <w:r>
        <w:t>same major-card alignment</w:t>
      </w:r>
    </w:p>
    <w:p>
      <w:r>
        <w:rPr>
          <w:b/>
          <w:color w:val="0E7880"/>
        </w:rPr>
        <w:t>Geometry</w:t>
      </w:r>
    </w:p>
    <w:p>
      <w:pPr>
        <w:pStyle w:val="ListBullet2"/>
        <w:spacing w:after="20"/>
      </w:pPr>
      <w:r>
        <w:t>same hero padding</w:t>
      </w:r>
    </w:p>
    <w:p>
      <w:pPr>
        <w:pStyle w:val="ListBullet2"/>
        <w:spacing w:after="20"/>
      </w:pPr>
      <w:r>
        <w:t>same card padding</w:t>
      </w:r>
    </w:p>
    <w:p>
      <w:pPr>
        <w:pStyle w:val="ListBullet2"/>
        <w:spacing w:after="20"/>
      </w:pPr>
      <w:r>
        <w:t>same button height</w:t>
      </w:r>
    </w:p>
    <w:p>
      <w:pPr>
        <w:pStyle w:val="ListBullet2"/>
        <w:spacing w:after="20"/>
      </w:pPr>
      <w:r>
        <w:t>same secondary-button horizontal padding</w:t>
      </w:r>
    </w:p>
    <w:p>
      <w:pPr>
        <w:pStyle w:val="ListBullet2"/>
        <w:spacing w:after="20"/>
      </w:pPr>
      <w:r>
        <w:t>shared radii</w:t>
      </w:r>
    </w:p>
    <w:p>
      <w:r>
        <w:rPr>
          <w:b/>
          <w:color w:val="0E7880"/>
        </w:rPr>
        <w:t>Theme</w:t>
      </w:r>
    </w:p>
    <w:p>
      <w:pPr>
        <w:pStyle w:val="ListBullet2"/>
        <w:spacing w:after="20"/>
      </w:pPr>
      <w:r>
        <w:t>same geometry in light/dark</w:t>
      </w:r>
    </w:p>
    <w:p>
      <w:pPr>
        <w:pStyle w:val="ListBullet2"/>
        <w:spacing w:after="20"/>
      </w:pPr>
      <w:r>
        <w:t>no theme-only layout changes</w:t>
      </w:r>
    </w:p>
    <w:p>
      <w:r>
        <w:rPr>
          <w:b/>
          <w:color w:val="0E7880"/>
        </w:rPr>
        <w:t>Responsive</w:t>
      </w:r>
    </w:p>
    <w:p>
      <w:pPr>
        <w:pStyle w:val="ListBullet2"/>
        <w:spacing w:after="20"/>
      </w:pPr>
      <w:r>
        <w:t>desktop</w:t>
      </w:r>
    </w:p>
    <w:p>
      <w:pPr>
        <w:pStyle w:val="ListBullet2"/>
        <w:spacing w:after="20"/>
      </w:pPr>
      <w:r>
        <w:t>tablet</w:t>
      </w:r>
    </w:p>
    <w:p>
      <w:pPr>
        <w:pStyle w:val="ListBullet2"/>
        <w:spacing w:after="20"/>
      </w:pPr>
      <w:r>
        <w:t>narrow mobile</w:t>
      </w:r>
    </w:p>
    <w:p>
      <w:pPr>
        <w:pStyle w:val="ListBullet2"/>
        <w:spacing w:after="20"/>
      </w:pPr>
      <w:r>
        <w:t>no horizontal overflow</w:t>
      </w:r>
    </w:p>
    <w:p>
      <w:r>
        <w:rPr>
          <w:b/>
          <w:color w:val="0E7880"/>
        </w:rPr>
        <w:t>Function</w:t>
      </w:r>
    </w:p>
    <w:p>
      <w:pPr>
        <w:pStyle w:val="ListBullet2"/>
        <w:spacing w:after="20"/>
      </w:pPr>
      <w:r>
        <w:t>navigation unchanged</w:t>
      </w:r>
    </w:p>
    <w:p>
      <w:pPr>
        <w:pStyle w:val="ListBullet2"/>
        <w:spacing w:after="20"/>
      </w:pPr>
      <w:r>
        <w:t>route state unchanged</w:t>
      </w:r>
    </w:p>
    <w:p>
      <w:pPr>
        <w:pStyle w:val="ListBullet2"/>
        <w:spacing w:after="20"/>
      </w:pPr>
      <w:r>
        <w:t>no completion/data behaviour changed</w:t>
      </w:r>
    </w:p>
    <w:p>
      <w:pPr>
        <w:pStyle w:val="Heading1"/>
        <w:spacing w:before="160" w:after="60"/>
      </w:pPr>
    </w:p>
    <w:p>
      <w:pPr>
        <w:pStyle w:val="ListBullet"/>
        <w:spacing w:after="20"/>
      </w:pPr>
      <w:r>
        <w:t>“In the Grammar Guide, reduce the padding of Variant Cards.”</w:t>
      </w:r>
    </w:p>
    <w:p>
      <w:pPr>
        <w:pStyle w:val="ListBullet"/>
        <w:spacing w:after="20"/>
      </w:pPr>
      <w:r>
        <w:t>“Make Resource Actions in References &amp; Further Study less prominent.”</w:t>
      </w:r>
    </w:p>
    <w:p>
      <w:pPr>
        <w:pStyle w:val="ListBullet"/>
        <w:spacing w:after="20"/>
      </w:pPr>
      <w:r>
        <w:t>“The Repository Hero should match the Hub Page Hero.”</w:t>
      </w:r>
    </w:p>
    <w:p>
      <w:pPr>
        <w:pStyle w:val="ListBullet"/>
        <w:spacing w:after="20"/>
      </w:pPr>
      <w:r>
        <w:t>“Reduce the Book Library card height without changing Study Tools cards.”</w:t>
      </w:r>
    </w:p>
    <w:p>
      <w:pPr>
        <w:pStyle w:val="ListBullet"/>
        <w:spacing w:after="20"/>
      </w:pPr>
      <w:r>
        <w:t>“On mobile, the Hub Section Header has too much vertical padding.”</w:t>
      </w:r>
    </w:p>
    <w:p>
      <w:pPr>
        <w:pStyle w:val="Heading1"/>
        <w:spacing w:before="160" w:after="60"/>
      </w:pPr>
    </w:p>
    <w:p>
      <w:pPr>
        <w:spacing w:after="60" w:line="252" w:lineRule="auto"/>
      </w:pPr>
      <w:r>
        <w:t>When deciding between two implementations, prefer the one that makes the Learning Hub feel like one application.</w:t>
      </w:r>
    </w:p>
    <w:p>
      <w:pPr>
        <w:spacing w:after="60" w:line="252" w:lineRule="auto"/>
      </w:pPr>
      <w:r>
        <w:t>A new route or component should not introduce a new button geometry, card radius, padding scale, page width, hero style, badge style or navigation treatment unless there is a clear functional reason.</w:t>
      </w:r>
    </w:p>
    <w:p>
      <w:pPr>
        <w:spacing w:after="60" w:line="252" w:lineRule="auto"/>
      </w:pPr>
      <w:r>
        <w:t>The goal is a consistent visual grammar so that differences communicate meaning rather than implementation history.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7080"/>
        <w:sz w:val="15"/>
      </w:rPr>
      <w:t>Japanese Learning Hub · Front-End &amp; UI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D2E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D2E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D2E4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D2E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