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r w:rsidR="00D710F4">
        <w:rPr>
          <w:color w:val="231F20"/>
          <w:position w:val="15"/>
          <w:sz w:val="25"/>
        </w:rPr>
        <w:t xml:space="preserve">th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r>
        <w:rPr>
          <w:color w:val="231F20"/>
        </w:rPr>
        <w:t>Loutraki,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Scientific Organising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Costas Baxevanis</w:t>
      </w:r>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r>
        <w:rPr>
          <w:color w:val="231F20"/>
          <w:sz w:val="28"/>
        </w:rPr>
        <w:t xml:space="preserve">Pawelec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Per Thor Straten</w:t>
      </w:r>
    </w:p>
    <w:p w:rsidR="00315382" w:rsidRDefault="00315382">
      <w:pPr>
        <w:tabs>
          <w:tab w:val="left" w:pos="1805"/>
          <w:tab w:val="left" w:pos="2136"/>
          <w:tab w:val="left" w:pos="4610"/>
          <w:tab w:val="left" w:pos="4942"/>
        </w:tabs>
        <w:spacing w:before="9"/>
        <w:jc w:val="center"/>
        <w:rPr>
          <w:color w:val="231F20"/>
          <w:sz w:val="28"/>
        </w:rPr>
      </w:pPr>
      <w:r>
        <w:rPr>
          <w:color w:val="231F20"/>
          <w:sz w:val="28"/>
        </w:rPr>
        <w:t>Victor Umansky</w:t>
      </w:r>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r>
        <w:rPr>
          <w:sz w:val="28"/>
        </w:rPr>
        <w:t>Menelaos Manoussakis</w:t>
      </w:r>
    </w:p>
    <w:p w:rsidR="00AE2829" w:rsidRPr="00315382" w:rsidRDefault="00315382" w:rsidP="00315382">
      <w:pPr>
        <w:tabs>
          <w:tab w:val="left" w:pos="1805"/>
          <w:tab w:val="left" w:pos="2136"/>
          <w:tab w:val="left" w:pos="4610"/>
          <w:tab w:val="left" w:pos="4942"/>
        </w:tabs>
        <w:spacing w:before="9"/>
        <w:jc w:val="center"/>
        <w:rPr>
          <w:sz w:val="28"/>
        </w:rPr>
      </w:pPr>
      <w:r w:rsidRPr="00315382">
        <w:rPr>
          <w:sz w:val="28"/>
        </w:rPr>
        <w:t>Marinos Tsiatas</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wps:txbx>
                        <wps:bodyPr rot="0" vert="horz" wrap="square" lIns="0" tIns="0" rIns="0" bIns="0" anchor="t" anchorCtr="0" upright="1">
                          <a:noAutofit/>
                        </wps:bodyPr>
                      </wps:wsp>
                    </wpg:wgp>
                  </a:graphicData>
                </a:graphic>
              </wp:inline>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r>
        <w:rPr>
          <w:rFonts w:ascii="Calibri" w:hAnsi="Calibri"/>
          <w:i/>
          <w:color w:val="45555F"/>
          <w:w w:val="105"/>
          <w:sz w:val="20"/>
        </w:rPr>
        <w:t>Alexandrion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George Gionis</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Costas Baxevanis</w:t>
      </w:r>
      <w:r w:rsidR="00D710F4">
        <w:rPr>
          <w:rFonts w:ascii="Calibri"/>
          <w:b/>
          <w:color w:val="231F20"/>
          <w:w w:val="105"/>
          <w:sz w:val="20"/>
        </w:rPr>
        <w:t xml:space="preserve"> </w:t>
      </w:r>
      <w:r w:rsidRPr="00A8326D">
        <w:rPr>
          <w:rFonts w:ascii="Calibri"/>
          <w:color w:val="45555F"/>
          <w:w w:val="105"/>
          <w:sz w:val="18"/>
          <w:szCs w:val="18"/>
        </w:rPr>
        <w:t>Cancer Immunology and Immunotherapy Center, St Savas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Per thor Straten</w:t>
      </w:r>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Department of Hematology, University Hospital Herle</w:t>
      </w:r>
      <w:r w:rsidR="0059743B">
        <w:rPr>
          <w:rFonts w:asciiTheme="minorHAnsi" w:hAnsiTheme="minorHAnsi" w:cstheme="minorHAnsi"/>
          <w:color w:val="000000"/>
          <w:sz w:val="16"/>
          <w:szCs w:val="16"/>
          <w:shd w:val="clear" w:color="auto" w:fill="FFFFFF"/>
        </w:rPr>
        <w:t>v</w:t>
      </w:r>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Rolf Kiessling</w:t>
      </w:r>
      <w:r w:rsidR="00265CE3" w:rsidRPr="00265CE3">
        <w:rPr>
          <w:rFonts w:asciiTheme="minorHAnsi" w:hAnsiTheme="minorHAnsi" w:cstheme="minorHAnsi"/>
          <w:color w:val="000000"/>
          <w:sz w:val="16"/>
          <w:szCs w:val="16"/>
          <w:shd w:val="clear" w:color="auto" w:fill="FFFFFF"/>
        </w:rPr>
        <w:t xml:space="preserve"> </w:t>
      </w:r>
      <w:r w:rsidR="00265CE3" w:rsidRPr="003924CC">
        <w:rPr>
          <w:rFonts w:asciiTheme="minorHAnsi" w:hAnsiTheme="minorHAnsi" w:cstheme="minorHAnsi"/>
          <w:color w:val="000000"/>
          <w:sz w:val="16"/>
          <w:szCs w:val="16"/>
          <w:shd w:val="clear" w:color="auto" w:fill="FFFFFF"/>
        </w:rPr>
        <w:t>Karolinska Institutet,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Barbara Seliger</w:t>
      </w:r>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r w:rsidR="00AC6CBC" w:rsidRPr="00AC6CBC">
        <w:rPr>
          <w:rFonts w:asciiTheme="minorHAnsi" w:hAnsiTheme="minorHAnsi" w:cstheme="minorHAnsi"/>
          <w:color w:val="000000"/>
          <w:sz w:val="16"/>
          <w:szCs w:val="16"/>
          <w:shd w:val="clear" w:color="auto" w:fill="FFFFFF"/>
        </w:rPr>
        <w:t xml:space="preserve">Departamento de Bioquimica, Biologia Molecular III e Inmunologia, Facultad de Medicina,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Cancer Immune Escape: HLA Class I Loss And Tumour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Giuseppe Masucci</w:t>
      </w:r>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Department of Oncology-Pathology, The Karolinska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Prognostic factors and Immmunoscore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Francesco Marincola</w:t>
      </w:r>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Wolf Herve Fridman</w:t>
      </w:r>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Université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Paris Cité,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Cancer microenvironments: prognostic and theranostic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r w:rsidR="009D4608" w:rsidRPr="009D4608">
        <w:rPr>
          <w:rFonts w:ascii="Calibri" w:hAnsi="Calibri"/>
          <w:b/>
          <w:color w:val="231F20"/>
          <w:w w:val="110"/>
          <w:sz w:val="20"/>
        </w:rPr>
        <w:t>Doriana Fruci</w:t>
      </w:r>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Immuno-Oncology Laboratory, Ospedale Pediatrico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Gaudernack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Hospital-Radiumhospitalet,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r w:rsidR="00EA70AD" w:rsidRPr="00EA70AD">
        <w:rPr>
          <w:rFonts w:asciiTheme="minorHAnsi" w:hAnsiTheme="minorHAnsi" w:cstheme="minorHAnsi"/>
          <w:b/>
          <w:sz w:val="20"/>
          <w:szCs w:val="20"/>
          <w:shd w:val="clear" w:color="auto" w:fill="FFFFFF"/>
        </w:rPr>
        <w:t>Sjoerd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Carl Figdor</w:t>
      </w:r>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Department of Tumor Immunology, Radboud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Federica Cavallo</w:t>
      </w:r>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1416FB" w:rsidRDefault="007B6684" w:rsidP="001416FB">
      <w:pPr>
        <w:tabs>
          <w:tab w:val="left" w:pos="2284"/>
        </w:tabs>
        <w:spacing w:line="240" w:lineRule="exact"/>
        <w:ind w:right="4680"/>
        <w:rPr>
          <w:b/>
          <w:sz w:val="16"/>
          <w:szCs w:val="16"/>
          <w:shd w:val="clear" w:color="auto" w:fill="FFFFFF"/>
        </w:rPr>
      </w:pPr>
      <w:r w:rsidRPr="007B6684">
        <w:rPr>
          <w:rFonts w:ascii="Calibri" w:hAnsi="Calibri"/>
          <w:sz w:val="20"/>
        </w:rPr>
        <w:t xml:space="preserve">                                                   </w:t>
      </w:r>
      <w:r w:rsidR="006C0C8C">
        <w:rPr>
          <w:rFonts w:ascii="Calibri" w:hAnsi="Calibri"/>
          <w:color w:val="231F20"/>
          <w:w w:val="105"/>
          <w:sz w:val="20"/>
        </w:rPr>
        <w:t>“</w:t>
      </w:r>
      <w:r w:rsidR="001416FB" w:rsidRPr="001416FB">
        <w:rPr>
          <w:b/>
          <w:sz w:val="16"/>
          <w:szCs w:val="16"/>
          <w:shd w:val="clear" w:color="auto" w:fill="FFFFFF"/>
        </w:rPr>
        <w:t>The cystine/glutamate antiporterxCT: A new cancer</w:t>
      </w:r>
      <w:r w:rsidR="001416FB">
        <w:rPr>
          <w:b/>
          <w:sz w:val="16"/>
          <w:szCs w:val="16"/>
          <w:shd w:val="clear" w:color="auto" w:fill="FFFFFF"/>
        </w:rPr>
        <w:t xml:space="preserve">   </w:t>
      </w:r>
    </w:p>
    <w:p w:rsidR="006C0C8C" w:rsidRDefault="001416FB" w:rsidP="001416FB">
      <w:pPr>
        <w:tabs>
          <w:tab w:val="left" w:pos="2284"/>
        </w:tabs>
        <w:spacing w:line="240" w:lineRule="exact"/>
        <w:ind w:right="4680"/>
        <w:rPr>
          <w:rFonts w:ascii="Calibri" w:hAnsi="Calibri"/>
          <w:sz w:val="20"/>
        </w:rPr>
      </w:pPr>
      <w:r>
        <w:rPr>
          <w:b/>
          <w:sz w:val="16"/>
          <w:szCs w:val="16"/>
          <w:shd w:val="clear" w:color="auto" w:fill="FFFFFF"/>
        </w:rPr>
        <w:t xml:space="preserve">                                                      </w:t>
      </w:r>
      <w:bookmarkStart w:id="0" w:name="_GoBack"/>
      <w:bookmarkEnd w:id="0"/>
      <w:r w:rsidRPr="001416FB">
        <w:rPr>
          <w:b/>
          <w:sz w:val="16"/>
          <w:szCs w:val="16"/>
          <w:shd w:val="clear" w:color="auto" w:fill="FFFFFF"/>
        </w:rPr>
        <w:t>stem cell target for anticancer vaccines</w:t>
      </w:r>
      <w:r w:rsidR="006C0C8C">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Pierre Coulie</w:t>
      </w:r>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de Duve Institute, Université Catholique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r w:rsidR="0090256F">
        <w:rPr>
          <w:rFonts w:ascii="Calibri" w:hAnsi="Calibri"/>
          <w:b/>
          <w:color w:val="231F20"/>
          <w:spacing w:val="-7"/>
          <w:w w:val="105"/>
          <w:sz w:val="20"/>
        </w:rPr>
        <w:t xml:space="preserve">Umansky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Cerundolo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CE18EB"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sidRPr="00CE18EB">
        <w:rPr>
          <w:b/>
          <w:color w:val="231F20"/>
          <w:w w:val="110"/>
          <w:sz w:val="16"/>
          <w:szCs w:val="16"/>
        </w:rPr>
        <w:t>“</w:t>
      </w:r>
      <w:r w:rsidR="00CE18EB" w:rsidRPr="00CE18EB">
        <w:rPr>
          <w:b/>
          <w:color w:val="231F20"/>
          <w:w w:val="110"/>
          <w:sz w:val="16"/>
          <w:szCs w:val="16"/>
        </w:rPr>
        <w:t>Amino acid degrading enzymes and their role in tumour immune escape mechanisms</w:t>
      </w:r>
      <w:r w:rsidR="00CE18EB" w:rsidRPr="00CE18EB">
        <w:rPr>
          <w:color w:val="231F20"/>
          <w:w w:val="105"/>
          <w:sz w:val="16"/>
          <w:szCs w:val="16"/>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Ignacio Melero</w:t>
      </w:r>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Investigacion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Technion-Israel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Benoit van den Eynde</w:t>
      </w:r>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Gunter Hammerling</w:t>
      </w:r>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cular Immunology, German Cance r</w:t>
      </w:r>
      <w:r w:rsidRPr="009A4FC1">
        <w:rPr>
          <w:rFonts w:asciiTheme="minorHAnsi" w:hAnsiTheme="minorHAnsi" w:cstheme="minorHAnsi"/>
          <w:color w:val="000000"/>
          <w:sz w:val="16"/>
          <w:szCs w:val="16"/>
          <w:shd w:val="clear" w:color="auto" w:fill="FFFFFF"/>
        </w:rPr>
        <w:t>Research</w:t>
      </w:r>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Graham Pawelec</w:t>
      </w:r>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Immunotherapy of Cancer: triumphs and challenges, and the impact of immunosenescence</w:t>
      </w:r>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Cornelis Melief</w:t>
      </w:r>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Adema </w:t>
      </w:r>
      <w:r w:rsidR="005A7030" w:rsidRPr="005A7030">
        <w:rPr>
          <w:rFonts w:asciiTheme="minorHAnsi" w:hAnsiTheme="minorHAnsi" w:cstheme="minorHAnsi"/>
          <w:color w:val="000000"/>
          <w:sz w:val="16"/>
          <w:szCs w:val="16"/>
          <w:shd w:val="clear" w:color="auto" w:fill="FFFFFF"/>
        </w:rPr>
        <w:t>Department of Tumor Immunology, Radboud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Dimitrakopoulou-Strauss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ecile Gouttefangeas</w:t>
      </w:r>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r w:rsidRPr="00C223D2">
        <w:rPr>
          <w:b/>
          <w:sz w:val="16"/>
          <w:szCs w:val="16"/>
        </w:rPr>
        <w:t>Immunomonitoring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r w:rsidRPr="0080595B">
        <w:rPr>
          <w:b/>
          <w:i/>
          <w:color w:val="0070C0"/>
          <w:w w:val="105"/>
          <w:sz w:val="28"/>
          <w:szCs w:val="28"/>
        </w:rPr>
        <w:t>Nafplion</w:t>
      </w:r>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organisers wish to express their appreciation for the significant support provided by sponsors at the </w:t>
      </w:r>
      <w:r>
        <w:rPr>
          <w:rFonts w:ascii="Gill Sans MT"/>
          <w:b/>
          <w:color w:val="53534A"/>
          <w:sz w:val="26"/>
        </w:rPr>
        <w:t>1</w:t>
      </w:r>
      <w:r w:rsidR="00A31BA3">
        <w:rPr>
          <w:rFonts w:ascii="Gill Sans MT"/>
          <w:b/>
          <w:color w:val="53534A"/>
          <w:sz w:val="26"/>
        </w:rPr>
        <w:t>7</w:t>
      </w:r>
      <w:r>
        <w:rPr>
          <w:rFonts w:ascii="Gill Sans MT"/>
          <w:b/>
          <w:color w:val="53534A"/>
          <w:position w:val="9"/>
          <w:sz w:val="15"/>
        </w:rPr>
        <w:t xml:space="preserve">th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programme.</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r>
        <w:rPr>
          <w:rStyle w:val="A9"/>
        </w:rPr>
        <w:t>Talimogene laherparepvec (T-VEC) is a herpes simplex virus type 1-derived injectable oncolytic virus that is genetically modified to be selectively replication-competent in tumour cells (especially those with MAPK pathway activation). It also expresses human granulocyte-macrophage colony-stimulating factor as an immunostimulatory cytokine</w:t>
      </w:r>
      <w:r>
        <w:rPr>
          <w:rStyle w:val="A21"/>
        </w:rPr>
        <w:t>1</w:t>
      </w:r>
      <w:r>
        <w:rPr>
          <w:rStyle w:val="A9"/>
        </w:rPr>
        <w:t>. In a phase 3 trial in 436 pts with unresected stage IIIB-IV melanoma (the OPTiM trial</w:t>
      </w:r>
      <w:r>
        <w:rPr>
          <w:rStyle w:val="A21"/>
        </w:rPr>
        <w:t>2</w:t>
      </w:r>
      <w:r>
        <w:rPr>
          <w:rStyle w:val="A9"/>
        </w:rPr>
        <w:t>), intralesional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IIIb, IIIC and IVM1a disease. For those patients who achieved a durable response prior to the 12-month landmark, there was a 94% decrease in the risk of death (HR = 0.06, P = 0.0002)</w:t>
      </w:r>
      <w:r>
        <w:rPr>
          <w:rStyle w:val="A21"/>
        </w:rPr>
        <w:t>3</w:t>
      </w:r>
      <w:r>
        <w:rPr>
          <w:rStyle w:val="A9"/>
        </w:rPr>
        <w:t>. Responses were seen in 64% of injected non-visceral lesions, 34% of uninjected non-visceral lesions and 15% of uninjected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Subsequent phase Ib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anti-tumour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1. Liu BL, et al. Gene Ther 2003;10:292–303.</w:t>
      </w:r>
    </w:p>
    <w:p w:rsidR="002A07A9" w:rsidRDefault="002A07A9" w:rsidP="002A07A9">
      <w:pPr>
        <w:pStyle w:val="Pa14"/>
        <w:rPr>
          <w:color w:val="000000"/>
          <w:sz w:val="20"/>
          <w:szCs w:val="20"/>
        </w:rPr>
      </w:pPr>
      <w:r>
        <w:rPr>
          <w:rStyle w:val="A9"/>
        </w:rPr>
        <w:t>2. Andtbacka RHI, et al. J Clin Oncol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4. Puzanov I, et al. J Clin Oncol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Guido Grandi</w:t>
      </w:r>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r>
        <w:rPr>
          <w:i/>
          <w:iCs/>
          <w:color w:val="000000"/>
          <w:sz w:val="20"/>
          <w:szCs w:val="20"/>
        </w:rPr>
        <w:t xml:space="preserve">Externautics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exosome+OMV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To assess the ability of the complexes to protect against tumour growth in immunocompetent mouse models, exosomes from mouse cancer cell lines combined with OMVs have been used to immunize syngeneic mice and the effect in tumour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0AFA" w:rsidRDefault="00B20AFA" w:rsidP="00AE2829">
      <w:r>
        <w:separator/>
      </w:r>
    </w:p>
  </w:endnote>
  <w:endnote w:type="continuationSeparator" w:id="0">
    <w:p w:rsidR="00B20AFA" w:rsidRDefault="00B20AFA"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0AFA" w:rsidRDefault="00B20AFA" w:rsidP="00AE2829">
      <w:r>
        <w:separator/>
      </w:r>
    </w:p>
  </w:footnote>
  <w:footnote w:type="continuationSeparator" w:id="0">
    <w:p w:rsidR="00B20AFA" w:rsidRDefault="00B20AFA" w:rsidP="00AE28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416FB"/>
    <w:rsid w:val="001851E3"/>
    <w:rsid w:val="00187FAB"/>
    <w:rsid w:val="00194A7D"/>
    <w:rsid w:val="002620A0"/>
    <w:rsid w:val="00265CE3"/>
    <w:rsid w:val="002A07A9"/>
    <w:rsid w:val="002B0EB4"/>
    <w:rsid w:val="002E689C"/>
    <w:rsid w:val="002F46AD"/>
    <w:rsid w:val="00306E18"/>
    <w:rsid w:val="00315382"/>
    <w:rsid w:val="003B0AD7"/>
    <w:rsid w:val="003E03EF"/>
    <w:rsid w:val="003E6C0F"/>
    <w:rsid w:val="00462186"/>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D7EAA"/>
    <w:rsid w:val="00705199"/>
    <w:rsid w:val="00772495"/>
    <w:rsid w:val="00777D37"/>
    <w:rsid w:val="007B02AE"/>
    <w:rsid w:val="007B6684"/>
    <w:rsid w:val="007D4A54"/>
    <w:rsid w:val="007E512C"/>
    <w:rsid w:val="0080595B"/>
    <w:rsid w:val="0087041C"/>
    <w:rsid w:val="00886C3E"/>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0AFA"/>
    <w:rsid w:val="00B27535"/>
    <w:rsid w:val="00B641CC"/>
    <w:rsid w:val="00B94E0A"/>
    <w:rsid w:val="00BD7CEF"/>
    <w:rsid w:val="00C223D2"/>
    <w:rsid w:val="00C75C96"/>
    <w:rsid w:val="00CD24E0"/>
    <w:rsid w:val="00CE18EB"/>
    <w:rsid w:val="00D710F4"/>
    <w:rsid w:val="00D73A4A"/>
    <w:rsid w:val="00DD39B5"/>
    <w:rsid w:val="00DE7BBA"/>
    <w:rsid w:val="00E11212"/>
    <w:rsid w:val="00E225B5"/>
    <w:rsid w:val="00E25C3C"/>
    <w:rsid w:val="00E663A4"/>
    <w:rsid w:val="00E826E6"/>
    <w:rsid w:val="00EA70AD"/>
    <w:rsid w:val="00ED6E05"/>
    <w:rsid w:val="00EF5907"/>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A87"/>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2288</Words>
  <Characters>13045</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8</cp:revision>
  <cp:lastPrinted>2016-12-10T02:00:00Z</cp:lastPrinted>
  <dcterms:created xsi:type="dcterms:W3CDTF">2017-03-06T04:27:00Z</dcterms:created>
  <dcterms:modified xsi:type="dcterms:W3CDTF">2017-07-11T11:38:00Z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