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afriqx"/>
      <w:r>
        <w:rPr/>
        <w:t>AFRIQX</w:t>
      </w:r>
    </w:p>
    <w:p>
      <w:pPr>
        <w:pStyle w:val="Heading2"/>
        <w:rPr/>
      </w:pPr>
      <w:bookmarkStart w:id="1" w:name="Xf927b3ebefcd6e3b959d40d8552bf0ff7e24ff1"/>
      <w:r>
        <w:rPr/>
        <w:t>The Operating System for African Capital Markets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1"/>
    </w:p>
    <w:p>
      <w:pPr>
        <w:pStyle w:val="Heading1"/>
        <w:rPr/>
      </w:pPr>
      <w:bookmarkStart w:id="2" w:name="brand-vision"/>
      <w:r>
        <w:rPr/>
        <w:t>Brand Vision</w:t>
      </w:r>
    </w:p>
    <w:p>
      <w:pPr>
        <w:pStyle w:val="FirstParagraph"/>
        <w:rPr/>
      </w:pPr>
      <w:r>
        <w:rPr/>
        <w:t>Afriqx is a next-generation African financial exchange infrastructure platform focused on building a borderless, African-first capital market.</w:t>
      </w:r>
    </w:p>
    <w:p>
      <w:pPr>
        <w:pStyle w:val="BodyText"/>
        <w:rPr/>
      </w:pPr>
      <w:r>
        <w:rPr/>
        <w:t>Rather than benchmarking African assets through foreign currencies such as the US Dollar, Afriqx aims to create an ecosystem where African currencies, African liquidity, and African economic value become the foundation of market pricing, settlement, and capital flow.</w:t>
      </w:r>
    </w:p>
    <w:p>
      <w:pPr>
        <w:pStyle w:val="BodyText"/>
        <w:rPr/>
      </w:pPr>
      <w:r>
        <w:rPr/>
        <w:t>Afriqx is not simply a trading platform.</w:t>
      </w:r>
    </w:p>
    <w:p>
      <w:pPr>
        <w:pStyle w:val="BodyText"/>
        <w:rPr/>
      </w:pPr>
      <w:r>
        <w:rPr/>
        <w:t>It is:</w:t>
      </w:r>
    </w:p>
    <w:p>
      <w:pPr>
        <w:pStyle w:val="Compact"/>
        <w:numPr>
          <w:ilvl w:val="0"/>
          <w:numId w:val="1"/>
        </w:numPr>
        <w:rPr/>
      </w:pPr>
      <w:r>
        <w:rPr/>
        <w:t>A pan-African exchange infrastructure</w:t>
      </w:r>
    </w:p>
    <w:p>
      <w:pPr>
        <w:pStyle w:val="Compact"/>
        <w:numPr>
          <w:ilvl w:val="0"/>
          <w:numId w:val="1"/>
        </w:numPr>
        <w:rPr/>
      </w:pPr>
      <w:r>
        <w:rPr/>
        <w:t>A continental FX intelligence network</w:t>
      </w:r>
    </w:p>
    <w:p>
      <w:pPr>
        <w:pStyle w:val="Compact"/>
        <w:numPr>
          <w:ilvl w:val="0"/>
          <w:numId w:val="1"/>
        </w:numPr>
        <w:rPr/>
      </w:pPr>
      <w:r>
        <w:rPr/>
        <w:t>A liquidity and settlement layer</w:t>
      </w:r>
    </w:p>
    <w:p>
      <w:pPr>
        <w:pStyle w:val="Compact"/>
        <w:numPr>
          <w:ilvl w:val="0"/>
          <w:numId w:val="1"/>
        </w:numPr>
        <w:rPr/>
      </w:pPr>
      <w:r>
        <w:rPr/>
        <w:t>A market data and analytics ecosystem</w:t>
      </w:r>
    </w:p>
    <w:p>
      <w:pPr>
        <w:pStyle w:val="Compact"/>
        <w:numPr>
          <w:ilvl w:val="0"/>
          <w:numId w:val="1"/>
        </w:numPr>
        <w:rPr/>
      </w:pPr>
      <w:r>
        <w:rPr/>
        <w:t>A future AI-powered financial operating system for Africa</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1"/>
        <w:rPr/>
      </w:pPr>
      <w:bookmarkStart w:id="3" w:name="core-mission"/>
      <w:r>
        <w:rPr/>
        <w:t>Core Mission</w:t>
      </w:r>
    </w:p>
    <w:p>
      <w:pPr>
        <w:pStyle w:val="FirstParagraph"/>
        <w:rPr/>
      </w:pPr>
      <w:r>
        <w:rPr/>
        <w:t>To build the infrastructure that allows African capital to move efficiently across African markets without unnecessary dependency on external financial systems.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rPr/>
      </w:pPr>
      <w:bookmarkStart w:id="4" w:name="strategic-positioning"/>
      <w:r>
        <w:rPr/>
        <w:t>Strategic Positioning</w:t>
      </w:r>
    </w:p>
    <w:p>
      <w:pPr>
        <w:pStyle w:val="FirstParagraph"/>
        <w:rPr/>
      </w:pPr>
      <w:r>
        <w:rPr/>
        <w:t>Instead of positioning as:</w:t>
      </w:r>
    </w:p>
    <w:p>
      <w:pPr>
        <w:pStyle w:val="BlockText"/>
        <w:rPr/>
      </w:pPr>
      <w:r>
        <w:rPr/>
        <w:t>“</w:t>
      </w:r>
      <w:r>
        <w:rPr/>
        <w:t>Africa’s Nasdaq”</w:t>
      </w:r>
    </w:p>
    <w:p>
      <w:pPr>
        <w:pStyle w:val="FirstParagraph"/>
        <w:rPr/>
      </w:pPr>
      <w:r>
        <w:rPr/>
        <w:t>Afriqx positions itself as:</w:t>
      </w:r>
    </w:p>
    <w:p>
      <w:pPr>
        <w:pStyle w:val="Compact"/>
        <w:numPr>
          <w:ilvl w:val="0"/>
          <w:numId w:val="0"/>
        </w:numPr>
        <w:ind w:hanging="0" w:left="720"/>
        <w:rPr/>
      </w:pPr>
      <w:r>
        <w:rPr/>
        <w:t>“</w:t>
      </w:r>
      <w:r>
        <w:rPr/>
        <w:t>Pricing Africa in African value.</w:t>
      </w:r>
      <w:bookmarkEnd w:id="4"/>
    </w:p>
    <w:p>
      <w:pPr>
        <w:pStyle w:val="Heading1"/>
        <w:rPr/>
      </w:pPr>
      <w:bookmarkStart w:id="5" w:name="brand-identity"/>
      <w:r>
        <w:rPr/>
        <w:t>Brand Identity</w:t>
      </w:r>
    </w:p>
    <w:p>
      <w:pPr>
        <w:pStyle w:val="Heading2"/>
        <w:rPr/>
      </w:pPr>
      <w:bookmarkStart w:id="6" w:name="brand-name"/>
      <w:r>
        <w:rPr/>
        <w:t>Brand Name</w:t>
      </w:r>
    </w:p>
    <w:p>
      <w:pPr>
        <w:pStyle w:val="FirstParagraph"/>
        <w:rPr/>
      </w:pPr>
      <w:r>
        <w:rPr/>
        <w:t>AFRIQX</w:t>
      </w:r>
    </w:p>
    <w:p>
      <w:pPr>
        <w:pStyle w:val="Heading3"/>
        <w:rPr/>
      </w:pPr>
      <w:bookmarkStart w:id="7" w:name="meaning"/>
      <w:r>
        <w:rPr/>
        <w:t>Meaning</w:t>
      </w:r>
    </w:p>
    <w:p>
      <w:pPr>
        <w:pStyle w:val="Compact"/>
        <w:numPr>
          <w:ilvl w:val="0"/>
          <w:numId w:val="1"/>
        </w:numPr>
        <w:rPr/>
      </w:pPr>
      <w:r>
        <w:rPr/>
        <w:t>AFRI = Africa</w:t>
      </w:r>
    </w:p>
    <w:p>
      <w:pPr>
        <w:pStyle w:val="Compact"/>
        <w:numPr>
          <w:ilvl w:val="0"/>
          <w:numId w:val="1"/>
        </w:numPr>
        <w:rPr/>
      </w:pPr>
      <w:r>
        <w:rPr/>
        <w:t>QX = Exchange / Quantum Exchange / Financial Infrastructure</w:t>
      </w:r>
    </w:p>
    <w:p>
      <w:pPr>
        <w:pStyle w:val="FirstParagraph"/>
        <w:rPr/>
      </w:pPr>
      <w:r>
        <w:rPr/>
        <w:t>The name feels:</w:t>
      </w:r>
    </w:p>
    <w:p>
      <w:pPr>
        <w:pStyle w:val="Compact"/>
        <w:numPr>
          <w:ilvl w:val="0"/>
          <w:numId w:val="1"/>
        </w:numPr>
        <w:rPr/>
      </w:pPr>
      <w:r>
        <w:rPr/>
        <w:t>Institutional</w:t>
      </w:r>
    </w:p>
    <w:p>
      <w:pPr>
        <w:pStyle w:val="Compact"/>
        <w:numPr>
          <w:ilvl w:val="0"/>
          <w:numId w:val="1"/>
        </w:numPr>
        <w:rPr/>
      </w:pPr>
      <w:r>
        <w:rPr/>
        <w:t>Futuristic</w:t>
      </w:r>
    </w:p>
    <w:p>
      <w:pPr>
        <w:pStyle w:val="Compact"/>
        <w:numPr>
          <w:ilvl w:val="0"/>
          <w:numId w:val="1"/>
        </w:numPr>
        <w:rPr/>
      </w:pPr>
      <w:r>
        <w:rPr/>
        <w:t>Global</w:t>
      </w:r>
    </w:p>
    <w:p>
      <w:pPr>
        <w:pStyle w:val="Compact"/>
        <w:numPr>
          <w:ilvl w:val="0"/>
          <w:numId w:val="1"/>
        </w:numPr>
        <w:rPr/>
      </w:pPr>
      <w:r>
        <w:rPr/>
        <w:t>Minimal</w:t>
      </w:r>
    </w:p>
    <w:p>
      <w:pPr>
        <w:pStyle w:val="Compact"/>
        <w:numPr>
          <w:ilvl w:val="0"/>
          <w:numId w:val="1"/>
        </w:numPr>
        <w:rPr/>
      </w:pPr>
      <w:r>
        <w:rPr/>
        <w:t>Memorable</w:t>
      </w:r>
    </w:p>
    <w:p>
      <w:pPr>
        <w:pStyle w:val="Compact"/>
        <w:numPr>
          <w:ilvl w:val="0"/>
          <w:numId w:val="1"/>
        </w:numPr>
        <w:rPr/>
      </w:pPr>
      <w:r>
        <w:rPr/>
        <w:t>Scalable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6"/>
      <w:bookmarkEnd w:id="7"/>
    </w:p>
    <w:p>
      <w:pPr>
        <w:pStyle w:val="Heading1"/>
        <w:rPr/>
      </w:pPr>
      <w:bookmarkStart w:id="8" w:name="logo-concept"/>
      <w:r>
        <w:rPr/>
        <w:t>Logo Concept</w:t>
      </w:r>
    </w:p>
    <w:p>
      <w:pPr>
        <w:pStyle w:val="Heading2"/>
        <w:rPr/>
      </w:pPr>
      <w:bookmarkStart w:id="9" w:name="primary-logo-direction"/>
      <w:r>
        <w:rPr/>
        <w:t>Primary Logo Direction</w:t>
      </w:r>
    </w:p>
    <w:p>
      <w:pPr>
        <w:pStyle w:val="Heading3"/>
        <w:rPr/>
      </w:pPr>
      <w:bookmarkStart w:id="10" w:name="core-symbol"/>
      <w:r>
        <w:rPr/>
        <w:t>Core Symbol</w:t>
      </w:r>
    </w:p>
    <w:p>
      <w:pPr>
        <w:pStyle w:val="FirstParagraph"/>
        <w:rPr/>
      </w:pPr>
      <w:r>
        <w:rPr/>
        <w:t>A geometric “A” fused with:</w:t>
      </w:r>
    </w:p>
    <w:p>
      <w:pPr>
        <w:pStyle w:val="Compact"/>
        <w:numPr>
          <w:ilvl w:val="0"/>
          <w:numId w:val="1"/>
        </w:numPr>
        <w:rPr/>
      </w:pPr>
      <w:r>
        <w:rPr/>
        <w:t>Market candlestick structures</w:t>
      </w:r>
    </w:p>
    <w:p>
      <w:pPr>
        <w:pStyle w:val="Compact"/>
        <w:numPr>
          <w:ilvl w:val="0"/>
          <w:numId w:val="1"/>
        </w:numPr>
        <w:rPr/>
      </w:pPr>
      <w:r>
        <w:rPr/>
        <w:t>Interconnected liquidity nodes</w:t>
      </w:r>
    </w:p>
    <w:p>
      <w:pPr>
        <w:pStyle w:val="Compact"/>
        <w:numPr>
          <w:ilvl w:val="0"/>
          <w:numId w:val="1"/>
        </w:numPr>
        <w:rPr/>
      </w:pPr>
      <w:r>
        <w:rPr/>
        <w:t>Continental trade routes</w:t>
      </w:r>
    </w:p>
    <w:p>
      <w:pPr>
        <w:pStyle w:val="Compact"/>
        <w:numPr>
          <w:ilvl w:val="0"/>
          <w:numId w:val="1"/>
        </w:numPr>
        <w:rPr/>
      </w:pPr>
      <w:r>
        <w:rPr/>
        <w:t>Exchange arrows</w:t>
      </w:r>
    </w:p>
    <w:p>
      <w:pPr>
        <w:pStyle w:val="Compact"/>
        <w:numPr>
          <w:ilvl w:val="0"/>
          <w:numId w:val="1"/>
        </w:numPr>
        <w:rPr/>
      </w:pPr>
      <w:r>
        <w:rPr/>
        <w:t>Upward market movement</w:t>
      </w:r>
      <w:bookmarkEnd w:id="10"/>
    </w:p>
    <w:p>
      <w:pPr>
        <w:pStyle w:val="Heading3"/>
        <w:rPr/>
      </w:pPr>
      <w:bookmarkStart w:id="11" w:name="design-language"/>
      <w:r>
        <w:rPr/>
        <w:t>Design Language</w:t>
      </w:r>
    </w:p>
    <w:p>
      <w:pPr>
        <w:pStyle w:val="Compact"/>
        <w:numPr>
          <w:ilvl w:val="0"/>
          <w:numId w:val="1"/>
        </w:numPr>
        <w:rPr/>
      </w:pPr>
      <w:r>
        <w:rPr/>
        <w:t>Symmetric geometry</w:t>
      </w:r>
    </w:p>
    <w:p>
      <w:pPr>
        <w:pStyle w:val="Compact"/>
        <w:numPr>
          <w:ilvl w:val="0"/>
          <w:numId w:val="1"/>
        </w:numPr>
        <w:rPr/>
      </w:pPr>
      <w:r>
        <w:rPr/>
        <w:t>Sharp institutional lines</w:t>
      </w:r>
    </w:p>
    <w:p>
      <w:pPr>
        <w:pStyle w:val="Compact"/>
        <w:numPr>
          <w:ilvl w:val="0"/>
          <w:numId w:val="1"/>
        </w:numPr>
        <w:rPr/>
      </w:pPr>
      <w:r>
        <w:rPr/>
        <w:t>Minimalist execution</w:t>
      </w:r>
    </w:p>
    <w:p>
      <w:pPr>
        <w:pStyle w:val="Compact"/>
        <w:numPr>
          <w:ilvl w:val="0"/>
          <w:numId w:val="1"/>
        </w:numPr>
        <w:rPr/>
      </w:pPr>
      <w:r>
        <w:rPr/>
        <w:t>Strong negative-space usage</w:t>
      </w:r>
    </w:p>
    <w:p>
      <w:pPr>
        <w:pStyle w:val="Compact"/>
        <w:numPr>
          <w:ilvl w:val="0"/>
          <w:numId w:val="1"/>
        </w:numPr>
        <w:rPr/>
      </w:pPr>
      <w:r>
        <w:rPr/>
        <w:t>Timeless structure</w:t>
      </w:r>
      <w:bookmarkEnd w:id="11"/>
    </w:p>
    <w:p>
      <w:pPr>
        <w:pStyle w:val="Heading3"/>
        <w:rPr/>
      </w:pPr>
      <w:bookmarkStart w:id="12" w:name="hidden-symbolism"/>
      <w:r>
        <w:rPr/>
        <w:t>Hidden Symbolism</w:t>
      </w:r>
    </w:p>
    <w:p>
      <w:pPr>
        <w:pStyle w:val="FirstParagraph"/>
        <w:rPr/>
      </w:pPr>
      <w:r>
        <w:rPr/>
        <w:t>The logo subtly communicates:</w:t>
      </w:r>
    </w:p>
    <w:p>
      <w:pPr>
        <w:pStyle w:val="Compact"/>
        <w:numPr>
          <w:ilvl w:val="0"/>
          <w:numId w:val="1"/>
        </w:numPr>
        <w:rPr/>
      </w:pPr>
      <w:r>
        <w:rPr/>
        <w:t>Capital flow</w:t>
      </w:r>
    </w:p>
    <w:p>
      <w:pPr>
        <w:pStyle w:val="Compact"/>
        <w:numPr>
          <w:ilvl w:val="0"/>
          <w:numId w:val="1"/>
        </w:numPr>
        <w:rPr/>
      </w:pPr>
      <w:r>
        <w:rPr/>
        <w:t>Growth</w:t>
      </w:r>
    </w:p>
    <w:p>
      <w:pPr>
        <w:pStyle w:val="Compact"/>
        <w:numPr>
          <w:ilvl w:val="0"/>
          <w:numId w:val="1"/>
        </w:numPr>
        <w:rPr/>
      </w:pPr>
      <w:r>
        <w:rPr/>
        <w:t>Cross-border liquidity</w:t>
      </w:r>
    </w:p>
    <w:p>
      <w:pPr>
        <w:pStyle w:val="Compact"/>
        <w:numPr>
          <w:ilvl w:val="0"/>
          <w:numId w:val="1"/>
        </w:numPr>
        <w:rPr/>
      </w:pPr>
      <w:r>
        <w:rPr/>
        <w:t>Pan-African connectivity</w:t>
      </w:r>
    </w:p>
    <w:p>
      <w:pPr>
        <w:pStyle w:val="Compact"/>
        <w:numPr>
          <w:ilvl w:val="0"/>
          <w:numId w:val="1"/>
        </w:numPr>
        <w:rPr/>
      </w:pPr>
      <w:r>
        <w:rPr/>
        <w:t>Financial movement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9"/>
      <w:bookmarkEnd w:id="12"/>
    </w:p>
    <w:p>
      <w:pPr>
        <w:pStyle w:val="Heading1"/>
        <w:rPr/>
      </w:pPr>
      <w:bookmarkStart w:id="13" w:name="visual-identity"/>
      <w:r>
        <w:rPr/>
        <w:t>Visual Identity</w:t>
      </w:r>
    </w:p>
    <w:p>
      <w:pPr>
        <w:pStyle w:val="Heading2"/>
        <w:rPr/>
      </w:pPr>
      <w:bookmarkStart w:id="14" w:name="primary-colors"/>
      <w:r>
        <w:rPr/>
        <w:t>Primary Colors</w:t>
      </w:r>
    </w:p>
    <w:p>
      <w:pPr>
        <w:pStyle w:val="Heading3"/>
        <w:rPr/>
      </w:pPr>
      <w:bookmarkStart w:id="15" w:name="obsidian-black"/>
      <w:r>
        <w:rPr/>
        <w:t>Obsidian Black</w:t>
      </w:r>
    </w:p>
    <w:p>
      <w:pPr>
        <w:pStyle w:val="FirstParagraph"/>
        <w:rPr/>
      </w:pPr>
      <w:r>
        <w:rPr/>
        <w:t>Represents:</w:t>
      </w:r>
    </w:p>
    <w:p>
      <w:pPr>
        <w:pStyle w:val="Compact"/>
        <w:numPr>
          <w:ilvl w:val="0"/>
          <w:numId w:val="1"/>
        </w:numPr>
        <w:rPr/>
      </w:pPr>
      <w:r>
        <w:rPr/>
        <w:t>Institutional trust</w:t>
      </w:r>
    </w:p>
    <w:p>
      <w:pPr>
        <w:pStyle w:val="Compact"/>
        <w:numPr>
          <w:ilvl w:val="0"/>
          <w:numId w:val="1"/>
        </w:numPr>
        <w:rPr/>
      </w:pPr>
      <w:r>
        <w:rPr/>
        <w:t>Stability</w:t>
      </w:r>
    </w:p>
    <w:p>
      <w:pPr>
        <w:pStyle w:val="Compact"/>
        <w:numPr>
          <w:ilvl w:val="0"/>
          <w:numId w:val="1"/>
        </w:numPr>
        <w:rPr/>
      </w:pPr>
      <w:r>
        <w:rPr/>
        <w:t>Power</w:t>
      </w:r>
      <w:bookmarkEnd w:id="15"/>
    </w:p>
    <w:p>
      <w:pPr>
        <w:pStyle w:val="Heading3"/>
        <w:rPr/>
      </w:pPr>
      <w:bookmarkStart w:id="16" w:name="deep-emerald"/>
      <w:r>
        <w:rPr/>
        <w:t>Deep Emerald</w:t>
      </w:r>
    </w:p>
    <w:p>
      <w:pPr>
        <w:pStyle w:val="FirstParagraph"/>
        <w:rPr/>
      </w:pPr>
      <w:r>
        <w:rPr/>
        <w:t>Represents:</w:t>
      </w:r>
    </w:p>
    <w:p>
      <w:pPr>
        <w:pStyle w:val="Compact"/>
        <w:numPr>
          <w:ilvl w:val="0"/>
          <w:numId w:val="1"/>
        </w:numPr>
        <w:rPr/>
      </w:pPr>
      <w:r>
        <w:rPr/>
        <w:t>Wealth</w:t>
      </w:r>
    </w:p>
    <w:p>
      <w:pPr>
        <w:pStyle w:val="Compact"/>
        <w:numPr>
          <w:ilvl w:val="0"/>
          <w:numId w:val="1"/>
        </w:numPr>
        <w:rPr/>
      </w:pPr>
      <w:r>
        <w:rPr/>
        <w:t>African growth</w:t>
      </w:r>
    </w:p>
    <w:p>
      <w:pPr>
        <w:pStyle w:val="Compact"/>
        <w:numPr>
          <w:ilvl w:val="0"/>
          <w:numId w:val="1"/>
        </w:numPr>
        <w:rPr/>
      </w:pPr>
      <w:r>
        <w:rPr/>
        <w:t>Financial intelligence</w:t>
      </w:r>
      <w:bookmarkEnd w:id="16"/>
    </w:p>
    <w:p>
      <w:pPr>
        <w:pStyle w:val="Heading3"/>
        <w:rPr/>
      </w:pPr>
      <w:bookmarkStart w:id="17" w:name="platinum-silver"/>
      <w:r>
        <w:rPr/>
        <w:t>Platinum Silver</w:t>
      </w:r>
    </w:p>
    <w:p>
      <w:pPr>
        <w:pStyle w:val="FirstParagraph"/>
        <w:rPr/>
      </w:pPr>
      <w:r>
        <w:rPr/>
        <w:t>Represents:</w:t>
      </w:r>
    </w:p>
    <w:p>
      <w:pPr>
        <w:pStyle w:val="Compact"/>
        <w:numPr>
          <w:ilvl w:val="0"/>
          <w:numId w:val="1"/>
        </w:numPr>
        <w:rPr/>
      </w:pPr>
      <w:r>
        <w:rPr/>
        <w:t>Technology</w:t>
      </w:r>
    </w:p>
    <w:p>
      <w:pPr>
        <w:pStyle w:val="Compact"/>
        <w:numPr>
          <w:ilvl w:val="0"/>
          <w:numId w:val="1"/>
        </w:numPr>
        <w:rPr/>
      </w:pPr>
      <w:r>
        <w:rPr/>
        <w:t>Precision</w:t>
      </w:r>
    </w:p>
    <w:p>
      <w:pPr>
        <w:pStyle w:val="Compact"/>
        <w:numPr>
          <w:ilvl w:val="0"/>
          <w:numId w:val="1"/>
        </w:numPr>
        <w:rPr/>
      </w:pPr>
      <w:r>
        <w:rPr/>
        <w:t>Innovation</w:t>
      </w:r>
      <w:bookmarkEnd w:id="17"/>
    </w:p>
    <w:p>
      <w:pPr>
        <w:pStyle w:val="Heading3"/>
        <w:rPr/>
      </w:pPr>
      <w:bookmarkStart w:id="18" w:name="muted-gold"/>
      <w:r>
        <w:rPr/>
        <w:t>Muted Gold</w:t>
      </w:r>
    </w:p>
    <w:p>
      <w:pPr>
        <w:pStyle w:val="FirstParagraph"/>
        <w:rPr/>
      </w:pPr>
      <w:r>
        <w:rPr/>
        <w:t>Represents:</w:t>
      </w:r>
    </w:p>
    <w:p>
      <w:pPr>
        <w:pStyle w:val="Compact"/>
        <w:numPr>
          <w:ilvl w:val="0"/>
          <w:numId w:val="1"/>
        </w:numPr>
        <w:rPr/>
      </w:pPr>
      <w:r>
        <w:rPr/>
        <w:t>Premium positioning</w:t>
      </w:r>
    </w:p>
    <w:p>
      <w:pPr>
        <w:pStyle w:val="Compact"/>
        <w:numPr>
          <w:ilvl w:val="0"/>
          <w:numId w:val="1"/>
        </w:numPr>
        <w:rPr/>
      </w:pPr>
      <w:r>
        <w:rPr/>
        <w:t>Continental value</w:t>
      </w:r>
    </w:p>
    <w:p>
      <w:pPr>
        <w:pStyle w:val="Compact"/>
        <w:numPr>
          <w:ilvl w:val="0"/>
          <w:numId w:val="1"/>
        </w:numPr>
        <w:rPr/>
      </w:pPr>
      <w:r>
        <w:rPr/>
        <w:t>Economic strength</w:t>
      </w:r>
      <w:bookmarkEnd w:id="18"/>
    </w:p>
    <w:p>
      <w:pPr>
        <w:pStyle w:val="Heading3"/>
        <w:rPr/>
      </w:pPr>
      <w:bookmarkStart w:id="19" w:name="warm-ivory"/>
      <w:r>
        <w:rPr/>
        <w:t>Warm Ivory</w:t>
      </w:r>
    </w:p>
    <w:p>
      <w:pPr>
        <w:pStyle w:val="FirstParagraph"/>
        <w:rPr/>
      </w:pPr>
      <w:r>
        <w:rPr/>
        <w:t>Represents:</w:t>
      </w:r>
    </w:p>
    <w:p>
      <w:pPr>
        <w:pStyle w:val="Compact"/>
        <w:numPr>
          <w:ilvl w:val="0"/>
          <w:numId w:val="1"/>
        </w:numPr>
        <w:rPr/>
      </w:pPr>
      <w:r>
        <w:rPr/>
        <w:t>Clean interface design</w:t>
      </w:r>
    </w:p>
    <w:p>
      <w:pPr>
        <w:pStyle w:val="Compact"/>
        <w:numPr>
          <w:ilvl w:val="0"/>
          <w:numId w:val="1"/>
        </w:numPr>
        <w:rPr/>
      </w:pPr>
      <w:r>
        <w:rPr/>
        <w:t>Clarity</w:t>
      </w:r>
    </w:p>
    <w:p>
      <w:pPr>
        <w:pStyle w:val="Compact"/>
        <w:numPr>
          <w:ilvl w:val="0"/>
          <w:numId w:val="1"/>
        </w:numPr>
        <w:rPr/>
      </w:pPr>
      <w:r>
        <w:rPr/>
        <w:t>Modern simplicity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bookmarkEnd w:id="19"/>
    </w:p>
    <w:p>
      <w:pPr>
        <w:pStyle w:val="Heading1"/>
        <w:rPr/>
      </w:pPr>
      <w:bookmarkStart w:id="20" w:name="typography-direction"/>
      <w:r>
        <w:rPr/>
        <w:t>Typography Direction</w:t>
      </w:r>
    </w:p>
    <w:p>
      <w:pPr>
        <w:pStyle w:val="Heading2"/>
        <w:rPr/>
      </w:pPr>
      <w:bookmarkStart w:id="21" w:name="suggested-fonts"/>
      <w:r>
        <w:rPr/>
        <w:t>Suggested Fonts</w:t>
      </w:r>
    </w:p>
    <w:p>
      <w:pPr>
        <w:pStyle w:val="Compact"/>
        <w:numPr>
          <w:ilvl w:val="0"/>
          <w:numId w:val="1"/>
        </w:numPr>
        <w:rPr/>
      </w:pPr>
      <w:r>
        <w:rPr/>
        <w:t>Satoshi</w:t>
      </w:r>
    </w:p>
    <w:p>
      <w:pPr>
        <w:pStyle w:val="Compact"/>
        <w:numPr>
          <w:ilvl w:val="0"/>
          <w:numId w:val="1"/>
        </w:numPr>
        <w:rPr/>
      </w:pPr>
      <w:r>
        <w:rPr/>
        <w:t>Inter</w:t>
      </w:r>
    </w:p>
    <w:p>
      <w:pPr>
        <w:pStyle w:val="Compact"/>
        <w:numPr>
          <w:ilvl w:val="0"/>
          <w:numId w:val="1"/>
        </w:numPr>
        <w:rPr/>
      </w:pPr>
      <w:r>
        <w:rPr/>
        <w:t>Neue Montreal</w:t>
      </w:r>
      <w:bookmarkEnd w:id="21"/>
    </w:p>
    <w:p>
      <w:pPr>
        <w:pStyle w:val="Heading2"/>
        <w:rPr/>
      </w:pPr>
      <w:bookmarkStart w:id="22" w:name="typography-personality"/>
      <w:r>
        <w:rPr/>
        <w:t>Typography Personality</w:t>
      </w:r>
    </w:p>
    <w:p>
      <w:pPr>
        <w:pStyle w:val="Compact"/>
        <w:numPr>
          <w:ilvl w:val="0"/>
          <w:numId w:val="1"/>
        </w:numPr>
        <w:rPr/>
      </w:pPr>
      <w:r>
        <w:rPr/>
        <w:t>Clean</w:t>
      </w:r>
    </w:p>
    <w:p>
      <w:pPr>
        <w:pStyle w:val="Compact"/>
        <w:numPr>
          <w:ilvl w:val="0"/>
          <w:numId w:val="1"/>
        </w:numPr>
        <w:rPr/>
      </w:pPr>
      <w:r>
        <w:rPr/>
        <w:t>Geometric</w:t>
      </w:r>
    </w:p>
    <w:p>
      <w:pPr>
        <w:pStyle w:val="Compact"/>
        <w:numPr>
          <w:ilvl w:val="0"/>
          <w:numId w:val="1"/>
        </w:numPr>
        <w:rPr/>
      </w:pPr>
      <w:r>
        <w:rPr/>
        <w:t>Premium</w:t>
      </w:r>
    </w:p>
    <w:p>
      <w:pPr>
        <w:pStyle w:val="Compact"/>
        <w:numPr>
          <w:ilvl w:val="0"/>
          <w:numId w:val="1"/>
        </w:numPr>
        <w:rPr/>
      </w:pPr>
      <w:r>
        <w:rPr/>
        <w:t>Institutional</w:t>
      </w:r>
    </w:p>
    <w:p>
      <w:pPr>
        <w:pStyle w:val="Compact"/>
        <w:numPr>
          <w:ilvl w:val="0"/>
          <w:numId w:val="1"/>
        </w:numPr>
        <w:rPr/>
      </w:pPr>
      <w:r>
        <w:rPr/>
        <w:t>Highly readable</w:t>
      </w:r>
    </w:p>
    <w:p>
      <w:pPr>
        <w:pStyle w:val="Compact"/>
        <w:numPr>
          <w:ilvl w:val="0"/>
          <w:numId w:val="1"/>
        </w:numPr>
        <w:rPr/>
      </w:pPr>
      <w:r>
        <w:rPr/>
        <w:t>Future-facing</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2"/>
    </w:p>
    <w:p>
      <w:pPr>
        <w:pStyle w:val="Heading1"/>
        <w:rPr/>
      </w:pPr>
      <w:bookmarkStart w:id="23" w:name="ticker-symbol-branding"/>
      <w:r>
        <w:rPr/>
        <w:t>Ticker Symbol Branding</w:t>
      </w:r>
    </w:p>
    <w:p>
      <w:pPr>
        <w:pStyle w:val="FirstParagraph"/>
        <w:rPr/>
      </w:pPr>
      <w:r>
        <w:rPr/>
        <w:t>Afriqx should operate like a real financial ecosystem with recognizable symbols and indexes.</w:t>
      </w:r>
    </w:p>
    <w:p>
      <w:pPr>
        <w:pStyle w:val="Heading2"/>
        <w:rPr/>
      </w:pPr>
      <w:bookmarkStart w:id="24" w:name="main-exchange-symbol"/>
      <w:r>
        <w:rPr/>
        <w:t>Main Exchange Symbol</w:t>
      </w:r>
    </w:p>
    <w:p>
      <w:pPr>
        <w:pStyle w:val="FirstParagraph"/>
        <w:rPr/>
      </w:pPr>
      <w:r>
        <w:rPr/>
        <w:t>AFQX</w:t>
      </w:r>
    </w:p>
    <w:p>
      <w:pPr>
        <w:pStyle w:val="Compact"/>
        <w:numPr>
          <w:ilvl w:val="0"/>
          <w:numId w:val="0"/>
        </w:numPr>
        <w:ind w:hanging="0" w:left="720"/>
        <w:rPr/>
      </w:pPr>
      <w:r>
        <w:rPr/>
        <w:t>Listed on AFQX</w:t>
      </w:r>
    </w:p>
    <w:p>
      <w:pPr>
        <w:pStyle w:val="Compact"/>
        <w:numPr>
          <w:ilvl w:val="0"/>
          <w:numId w:val="0"/>
        </w:numPr>
        <w:ind w:hanging="0" w:left="720"/>
        <w:rPr/>
      </w:pPr>
      <w:r>
        <w:rPr/>
      </w:r>
      <w:bookmarkEnd w:id="23"/>
      <w:bookmarkEnd w:id="24"/>
    </w:p>
    <w:p>
      <w:pPr>
        <w:pStyle w:val="Heading1"/>
        <w:rPr/>
      </w:pPr>
      <w:bookmarkStart w:id="25" w:name="african-currency-pair-infrastructure"/>
      <w:r>
        <w:rPr/>
        <w:t>African Currency Pair Infrastructure</w:t>
      </w:r>
    </w:p>
    <w:p>
      <w:pPr>
        <w:pStyle w:val="FirstParagraph"/>
        <w:rPr/>
      </w:pPr>
      <w:r>
        <w:rPr/>
        <w:t>One of Afriqx’s biggest innovations is direct African currency comparison and conversion.</w:t>
      </w:r>
    </w:p>
    <w:p>
      <w:pPr>
        <w:pStyle w:val="BodyText"/>
        <w:rPr/>
      </w:pPr>
      <w:r>
        <w:rPr/>
        <w:t>Instead of: KES → USD → NGN</w:t>
      </w:r>
    </w:p>
    <w:p>
      <w:pPr>
        <w:pStyle w:val="BodyText"/>
        <w:rPr/>
      </w:pPr>
      <w:r>
        <w:rPr/>
        <w:t>Afriqx enables: KES → NGN</w:t>
      </w:r>
    </w:p>
    <w:p>
      <w:pPr>
        <w:pStyle w:val="BodyText"/>
        <w:rPr/>
      </w:pPr>
      <w:r>
        <w:rPr/>
        <w:t>This creates:</w:t>
      </w:r>
    </w:p>
    <w:p>
      <w:pPr>
        <w:pStyle w:val="Compact"/>
        <w:numPr>
          <w:ilvl w:val="0"/>
          <w:numId w:val="1"/>
        </w:numPr>
        <w:rPr/>
      </w:pPr>
      <w:r>
        <w:rPr/>
        <w:t>Faster settlement</w:t>
      </w:r>
    </w:p>
    <w:p>
      <w:pPr>
        <w:pStyle w:val="Compact"/>
        <w:numPr>
          <w:ilvl w:val="0"/>
          <w:numId w:val="1"/>
        </w:numPr>
        <w:rPr/>
      </w:pPr>
      <w:r>
        <w:rPr/>
        <w:t>Reduced spread loss</w:t>
      </w:r>
    </w:p>
    <w:p>
      <w:pPr>
        <w:pStyle w:val="Compact"/>
        <w:numPr>
          <w:ilvl w:val="0"/>
          <w:numId w:val="1"/>
        </w:numPr>
        <w:rPr/>
      </w:pPr>
      <w:r>
        <w:rPr/>
        <w:t>Lower dependency on USD</w:t>
      </w:r>
    </w:p>
    <w:p>
      <w:pPr>
        <w:pStyle w:val="Compact"/>
        <w:numPr>
          <w:ilvl w:val="0"/>
          <w:numId w:val="1"/>
        </w:numPr>
        <w:rPr/>
      </w:pPr>
      <w:r>
        <w:rPr/>
        <w:t>Improved regional liquidity</w:t>
      </w:r>
    </w:p>
    <w:p>
      <w:pPr>
        <w:pStyle w:val="Compact"/>
        <w:numPr>
          <w:ilvl w:val="0"/>
          <w:numId w:val="1"/>
        </w:numPr>
        <w:rPr/>
      </w:pPr>
      <w:r>
        <w:rPr/>
        <w:t>More efficient African trade</w:t>
      </w:r>
    </w:p>
    <w:p>
      <w:pPr>
        <w:pStyle w:val="Heading2"/>
        <w:rPr/>
      </w:pPr>
      <w:bookmarkStart w:id="26" w:name="example-currency-pairs"/>
      <w:r>
        <w:rPr/>
        <w:t>Example Currency Pairs</w:t>
      </w:r>
    </w:p>
    <w:p>
      <w:pPr>
        <w:pStyle w:val="Compact"/>
        <w:numPr>
          <w:ilvl w:val="0"/>
          <w:numId w:val="1"/>
        </w:numPr>
        <w:rPr/>
      </w:pPr>
      <w:r>
        <w:rPr/>
        <w:t>NGN/KES</w:t>
      </w:r>
    </w:p>
    <w:p>
      <w:pPr>
        <w:pStyle w:val="Compact"/>
        <w:numPr>
          <w:ilvl w:val="0"/>
          <w:numId w:val="1"/>
        </w:numPr>
        <w:rPr/>
      </w:pPr>
      <w:r>
        <w:rPr/>
        <w:t>ZAR/KES</w:t>
      </w:r>
    </w:p>
    <w:p>
      <w:pPr>
        <w:pStyle w:val="Compact"/>
        <w:numPr>
          <w:ilvl w:val="0"/>
          <w:numId w:val="1"/>
        </w:numPr>
        <w:rPr/>
      </w:pPr>
      <w:r>
        <w:rPr/>
        <w:t>EGP/NGN</w:t>
      </w:r>
    </w:p>
    <w:p>
      <w:pPr>
        <w:pStyle w:val="Compact"/>
        <w:numPr>
          <w:ilvl w:val="0"/>
          <w:numId w:val="1"/>
        </w:numPr>
        <w:rPr/>
      </w:pPr>
      <w:r>
        <w:rPr/>
        <w:t>GHS/KES</w:t>
      </w:r>
    </w:p>
    <w:p>
      <w:pPr>
        <w:pStyle w:val="Compact"/>
        <w:numPr>
          <w:ilvl w:val="0"/>
          <w:numId w:val="1"/>
        </w:numPr>
        <w:rPr/>
      </w:pPr>
      <w:r>
        <w:rPr/>
        <w:t>ETB/ZAR</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rPr/>
      </w:pPr>
      <w:bookmarkStart w:id="27" w:name="proprietary-african-market-indexes"/>
      <w:r>
        <w:rPr/>
        <w:t>Proprietary African Market Indexes</w:t>
      </w:r>
    </w:p>
    <w:p>
      <w:pPr>
        <w:pStyle w:val="Heading2"/>
        <w:rPr/>
      </w:pPr>
      <w:bookmarkStart w:id="28" w:name="af50"/>
      <w:r>
        <w:rPr/>
        <w:t>AF50</w:t>
      </w:r>
    </w:p>
    <w:p>
      <w:pPr>
        <w:pStyle w:val="FirstParagraph"/>
        <w:rPr/>
      </w:pPr>
      <w:r>
        <w:rPr/>
        <w:t>Top 50 African companies.</w:t>
      </w:r>
      <w:bookmarkEnd w:id="28"/>
    </w:p>
    <w:p>
      <w:pPr>
        <w:pStyle w:val="Heading2"/>
        <w:rPr/>
      </w:pPr>
      <w:bookmarkStart w:id="29" w:name="sahara100"/>
      <w:r>
        <w:rPr/>
        <w:t>SAHARA100</w:t>
      </w:r>
    </w:p>
    <w:p>
      <w:pPr>
        <w:pStyle w:val="FirstParagraph"/>
        <w:rPr/>
      </w:pPr>
      <w:r>
        <w:rPr/>
        <w:t>Cross-continental enterprise index.</w:t>
      </w:r>
      <w:bookmarkEnd w:id="29"/>
    </w:p>
    <w:p>
      <w:pPr>
        <w:pStyle w:val="Heading2"/>
        <w:rPr/>
      </w:pPr>
      <w:bookmarkStart w:id="30" w:name="nile-tech"/>
      <w:r>
        <w:rPr/>
        <w:t>NILE TECH</w:t>
      </w:r>
    </w:p>
    <w:p>
      <w:pPr>
        <w:pStyle w:val="FirstParagraph"/>
        <w:rPr/>
      </w:pPr>
      <w:r>
        <w:rPr/>
        <w:t>African technology companies index.</w:t>
      </w:r>
      <w:bookmarkEnd w:id="30"/>
    </w:p>
    <w:p>
      <w:pPr>
        <w:pStyle w:val="Heading2"/>
        <w:rPr/>
      </w:pPr>
      <w:bookmarkStart w:id="31" w:name="ubuntu-esg"/>
      <w:r>
        <w:rPr/>
        <w:t>UBUNTU ESG</w:t>
      </w:r>
    </w:p>
    <w:p>
      <w:pPr>
        <w:pStyle w:val="FirstParagraph"/>
        <w:rPr/>
      </w:pPr>
      <w:r>
        <w:rPr/>
        <w:t>African sustainability and governance index.</w:t>
      </w:r>
      <w:bookmarkEnd w:id="31"/>
    </w:p>
    <w:p>
      <w:pPr>
        <w:pStyle w:val="Heading2"/>
        <w:rPr/>
      </w:pPr>
      <w:bookmarkStart w:id="32" w:name="kifaru-banks"/>
      <w:r>
        <w:rPr/>
        <w:t>KIFARU BANKS</w:t>
      </w:r>
    </w:p>
    <w:p>
      <w:pPr>
        <w:pStyle w:val="FirstParagraph"/>
        <w:rPr/>
      </w:pPr>
      <w:r>
        <w:rPr/>
        <w:t>African banking sector index.</w:t>
      </w:r>
      <w:bookmarkEnd w:id="32"/>
    </w:p>
    <w:p>
      <w:pPr>
        <w:pStyle w:val="Heading2"/>
        <w:rPr/>
      </w:pPr>
      <w:bookmarkStart w:id="33" w:name="baobab-smallcap"/>
      <w:r>
        <w:rPr/>
        <w:t>BAOBAB SMALLCAP</w:t>
      </w:r>
    </w:p>
    <w:p>
      <w:pPr>
        <w:pStyle w:val="FirstParagraph"/>
        <w:rPr/>
      </w:pPr>
      <w:r>
        <w:rPr/>
        <w:t>Emerging African businesses index.</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33"/>
    </w:p>
    <w:p>
      <w:pPr>
        <w:pStyle w:val="Heading1"/>
        <w:rPr/>
      </w:pPr>
      <w:bookmarkStart w:id="34" w:name="african-fx-index"/>
      <w:r>
        <w:rPr/>
        <w:t>African FX Index</w:t>
      </w:r>
    </w:p>
    <w:p>
      <w:pPr>
        <w:pStyle w:val="Heading2"/>
        <w:rPr/>
      </w:pPr>
      <w:bookmarkStart w:id="35" w:name="afxi"/>
      <w:r>
        <w:rPr/>
        <w:t>AFXI</w:t>
      </w:r>
    </w:p>
    <w:p>
      <w:pPr>
        <w:pStyle w:val="FirstParagraph"/>
        <w:rPr/>
      </w:pPr>
      <w:r>
        <w:rPr/>
        <w:t>African Foreign Exchange Index.</w:t>
      </w:r>
    </w:p>
    <w:p>
      <w:pPr>
        <w:pStyle w:val="BodyText"/>
        <w:rPr/>
      </w:pPr>
      <w:r>
        <w:rPr/>
        <w:t>This index measures:</w:t>
      </w:r>
    </w:p>
    <w:p>
      <w:pPr>
        <w:pStyle w:val="Compact"/>
        <w:numPr>
          <w:ilvl w:val="0"/>
          <w:numId w:val="1"/>
        </w:numPr>
        <w:rPr/>
      </w:pPr>
      <w:r>
        <w:rPr/>
        <w:t>African currency performance</w:t>
      </w:r>
    </w:p>
    <w:p>
      <w:pPr>
        <w:pStyle w:val="Compact"/>
        <w:numPr>
          <w:ilvl w:val="0"/>
          <w:numId w:val="1"/>
        </w:numPr>
        <w:rPr/>
      </w:pPr>
      <w:r>
        <w:rPr/>
        <w:t>Regional economic stability</w:t>
      </w:r>
    </w:p>
    <w:p>
      <w:pPr>
        <w:pStyle w:val="Compact"/>
        <w:numPr>
          <w:ilvl w:val="0"/>
          <w:numId w:val="1"/>
        </w:numPr>
        <w:rPr/>
      </w:pPr>
      <w:r>
        <w:rPr/>
        <w:t>Cross-border trade efficiency</w:t>
      </w:r>
    </w:p>
    <w:p>
      <w:pPr>
        <w:pStyle w:val="Compact"/>
        <w:numPr>
          <w:ilvl w:val="0"/>
          <w:numId w:val="1"/>
        </w:numPr>
        <w:rPr/>
      </w:pPr>
      <w:r>
        <w:rPr/>
        <w:t>Commodity impact on African economies</w:t>
      </w:r>
    </w:p>
    <w:p>
      <w:pPr>
        <w:pStyle w:val="Compact"/>
        <w:numPr>
          <w:ilvl w:val="0"/>
          <w:numId w:val="1"/>
        </w:numPr>
        <w:rPr/>
      </w:pPr>
      <w:r>
        <w:rPr/>
        <w:t>Continental liquidity strength</w:t>
      </w:r>
    </w:p>
    <w:p>
      <w:pPr>
        <w:pStyle w:val="FirstParagraph"/>
        <w:rPr/>
      </w:pPr>
      <w:r>
        <w:rPr/>
        <w:t>The index can eventually become:</w:t>
      </w:r>
    </w:p>
    <w:p>
      <w:pPr>
        <w:pStyle w:val="Compact"/>
        <w:numPr>
          <w:ilvl w:val="0"/>
          <w:numId w:val="1"/>
        </w:numPr>
        <w:rPr/>
      </w:pPr>
      <w:r>
        <w:rPr/>
        <w:t>A benchmark for African investors</w:t>
      </w:r>
    </w:p>
    <w:p>
      <w:pPr>
        <w:pStyle w:val="Compact"/>
        <w:numPr>
          <w:ilvl w:val="0"/>
          <w:numId w:val="1"/>
        </w:numPr>
        <w:rPr/>
      </w:pPr>
      <w:r>
        <w:rPr/>
        <w:t>A sovereign economic indicator</w:t>
      </w:r>
    </w:p>
    <w:p>
      <w:pPr>
        <w:pStyle w:val="Compact"/>
        <w:numPr>
          <w:ilvl w:val="0"/>
          <w:numId w:val="1"/>
        </w:numPr>
        <w:rPr/>
      </w:pPr>
      <w:r>
        <w:rPr/>
        <w:t>A continental reserve index</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1"/>
        <w:rPr/>
      </w:pPr>
      <w:bookmarkStart w:id="36" w:name="settlement-clearing-infrastructure"/>
      <w:r>
        <w:rPr/>
        <w:t>Settlement &amp; Clearing Infrastructure</w:t>
      </w:r>
    </w:p>
    <w:p>
      <w:pPr>
        <w:pStyle w:val="FirstParagraph"/>
        <w:rPr/>
      </w:pPr>
      <w:r>
        <w:rPr/>
        <w:t>Afriqx eventually expands beyond exchange trading into continental settlement infrastructure.</w:t>
      </w:r>
    </w:p>
    <w:p>
      <w:pPr>
        <w:pStyle w:val="Heading2"/>
        <w:rPr/>
      </w:pPr>
      <w:bookmarkStart w:id="37" w:name="potential-settlement-layer-names"/>
      <w:r>
        <w:rPr/>
        <w:t>Potential Settlement Layer Names</w:t>
      </w:r>
    </w:p>
    <w:p>
      <w:pPr>
        <w:pStyle w:val="Compact"/>
        <w:numPr>
          <w:ilvl w:val="0"/>
          <w:numId w:val="1"/>
        </w:numPr>
        <w:rPr/>
      </w:pPr>
      <w:r>
        <w:rPr/>
        <w:t>AfriClear</w:t>
      </w:r>
    </w:p>
    <w:p>
      <w:pPr>
        <w:pStyle w:val="Compact"/>
        <w:numPr>
          <w:ilvl w:val="0"/>
          <w:numId w:val="1"/>
        </w:numPr>
        <w:rPr/>
      </w:pPr>
      <w:r>
        <w:rPr/>
        <w:t>NuruSettle</w:t>
      </w:r>
    </w:p>
    <w:p>
      <w:pPr>
        <w:pStyle w:val="Compact"/>
        <w:numPr>
          <w:ilvl w:val="0"/>
          <w:numId w:val="1"/>
        </w:numPr>
        <w:rPr/>
      </w:pPr>
      <w:r>
        <w:rPr/>
        <w:t>PanaRail</w:t>
      </w:r>
    </w:p>
    <w:p>
      <w:pPr>
        <w:pStyle w:val="Compact"/>
        <w:numPr>
          <w:ilvl w:val="0"/>
          <w:numId w:val="1"/>
        </w:numPr>
        <w:rPr/>
      </w:pPr>
      <w:r>
        <w:rPr/>
        <w:t>KoraNet</w:t>
      </w:r>
    </w:p>
    <w:p>
      <w:pPr>
        <w:pStyle w:val="Compact"/>
        <w:numPr>
          <w:ilvl w:val="0"/>
          <w:numId w:val="1"/>
        </w:numPr>
        <w:rPr/>
      </w:pPr>
      <w:r>
        <w:rPr/>
        <w:t>Ubuntu Ledger</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1"/>
        <w:rPr/>
      </w:pPr>
      <w:bookmarkStart w:id="38" w:name="exchange-architecture"/>
      <w:r>
        <w:rPr/>
        <w:t>Exchange Architecture</w:t>
      </w:r>
    </w:p>
    <w:p>
      <w:pPr>
        <w:pStyle w:val="Heading2"/>
        <w:rPr/>
      </w:pPr>
      <w:bookmarkStart w:id="39" w:name="layer-1-market-exchange-core"/>
      <w:r>
        <w:rPr/>
        <w:t>Layer 1 — Market Exchange Core</w:t>
      </w:r>
    </w:p>
    <w:p>
      <w:pPr>
        <w:pStyle w:val="FirstParagraph"/>
        <w:rPr/>
      </w:pPr>
      <w:r>
        <w:rPr/>
        <w:t>Handles:</w:t>
      </w:r>
    </w:p>
    <w:p>
      <w:pPr>
        <w:pStyle w:val="Compact"/>
        <w:numPr>
          <w:ilvl w:val="0"/>
          <w:numId w:val="1"/>
        </w:numPr>
        <w:rPr/>
      </w:pPr>
      <w:r>
        <w:rPr/>
        <w:t>Equity trading</w:t>
      </w:r>
    </w:p>
    <w:p>
      <w:pPr>
        <w:pStyle w:val="Compact"/>
        <w:numPr>
          <w:ilvl w:val="0"/>
          <w:numId w:val="1"/>
        </w:numPr>
        <w:rPr/>
      </w:pPr>
      <w:r>
        <w:rPr/>
        <w:t>ETFs</w:t>
      </w:r>
    </w:p>
    <w:p>
      <w:pPr>
        <w:pStyle w:val="Compact"/>
        <w:numPr>
          <w:ilvl w:val="0"/>
          <w:numId w:val="1"/>
        </w:numPr>
        <w:rPr/>
      </w:pPr>
      <w:r>
        <w:rPr/>
        <w:t>Debt markets</w:t>
      </w:r>
    </w:p>
    <w:p>
      <w:pPr>
        <w:pStyle w:val="Compact"/>
        <w:numPr>
          <w:ilvl w:val="0"/>
          <w:numId w:val="1"/>
        </w:numPr>
        <w:rPr/>
      </w:pPr>
      <w:r>
        <w:rPr/>
        <w:t>Commodities</w:t>
      </w:r>
    </w:p>
    <w:p>
      <w:pPr>
        <w:pStyle w:val="Compact"/>
        <w:numPr>
          <w:ilvl w:val="0"/>
          <w:numId w:val="1"/>
        </w:numPr>
        <w:rPr/>
      </w:pPr>
      <w:r>
        <w:rPr/>
        <w:t>Tokenized assets (future)</w:t>
      </w:r>
    </w:p>
    <w:p>
      <w:pPr>
        <w:pStyle w:val="Heading3"/>
        <w:rPr/>
      </w:pPr>
      <w:bookmarkStart w:id="40" w:name="technical-architecture"/>
      <w:r>
        <w:rPr/>
        <w:t>Technical Architecture</w:t>
      </w:r>
    </w:p>
    <w:p>
      <w:pPr>
        <w:pStyle w:val="Compact"/>
        <w:numPr>
          <w:ilvl w:val="0"/>
          <w:numId w:val="1"/>
        </w:numPr>
        <w:rPr/>
      </w:pPr>
      <w:r>
        <w:rPr/>
        <w:t>Ultra-low latency engine</w:t>
      </w:r>
    </w:p>
    <w:p>
      <w:pPr>
        <w:pStyle w:val="Compact"/>
        <w:numPr>
          <w:ilvl w:val="0"/>
          <w:numId w:val="1"/>
        </w:numPr>
        <w:rPr/>
      </w:pPr>
      <w:r>
        <w:rPr/>
        <w:t>Event-driven architecture</w:t>
      </w:r>
    </w:p>
    <w:p>
      <w:pPr>
        <w:pStyle w:val="Compact"/>
        <w:numPr>
          <w:ilvl w:val="0"/>
          <w:numId w:val="1"/>
        </w:numPr>
        <w:rPr/>
      </w:pPr>
      <w:r>
        <w:rPr/>
        <w:t>FIX protocol support</w:t>
      </w:r>
    </w:p>
    <w:p>
      <w:pPr>
        <w:pStyle w:val="Compact"/>
        <w:numPr>
          <w:ilvl w:val="0"/>
          <w:numId w:val="1"/>
        </w:numPr>
        <w:rPr/>
      </w:pPr>
      <w:r>
        <w:rPr/>
        <w:t>Regional matching engines</w:t>
      </w:r>
    </w:p>
    <w:p>
      <w:pPr>
        <w:pStyle w:val="Compact"/>
        <w:numPr>
          <w:ilvl w:val="0"/>
          <w:numId w:val="1"/>
        </w:numPr>
        <w:rPr/>
      </w:pPr>
      <w:r>
        <w:rPr/>
        <w:t>Real-time order routing</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p>
    <w:p>
      <w:pPr>
        <w:pStyle w:val="Heading2"/>
        <w:rPr/>
      </w:pPr>
      <w:bookmarkStart w:id="41" w:name="layer-2-african-fx-engine"/>
      <w:r>
        <w:rPr/>
        <w:t>Layer 2 — African FX Engine</w:t>
      </w:r>
    </w:p>
    <w:p>
      <w:pPr>
        <w:pStyle w:val="FirstParagraph"/>
        <w:rPr/>
      </w:pPr>
      <w:r>
        <w:rPr/>
        <w:t>This is Afriqx’s primary competitive advantage.</w:t>
      </w:r>
    </w:p>
    <w:p>
      <w:pPr>
        <w:pStyle w:val="BodyText"/>
        <w:rPr/>
      </w:pPr>
      <w:r>
        <w:rPr/>
        <w:t>Purpose: Enable direct African currency conversion without routing through USD.</w:t>
      </w:r>
    </w:p>
    <w:p>
      <w:pPr>
        <w:pStyle w:val="BodyText"/>
        <w:rPr/>
      </w:pPr>
      <w:r>
        <w:rPr/>
        <w:t>Benefits:</w:t>
      </w:r>
    </w:p>
    <w:p>
      <w:pPr>
        <w:pStyle w:val="Compact"/>
        <w:numPr>
          <w:ilvl w:val="0"/>
          <w:numId w:val="1"/>
        </w:numPr>
        <w:rPr/>
      </w:pPr>
      <w:r>
        <w:rPr/>
        <w:t>Lower settlement friction</w:t>
      </w:r>
    </w:p>
    <w:p>
      <w:pPr>
        <w:pStyle w:val="Compact"/>
        <w:numPr>
          <w:ilvl w:val="0"/>
          <w:numId w:val="1"/>
        </w:numPr>
        <w:rPr/>
      </w:pPr>
      <w:r>
        <w:rPr/>
        <w:t>Improved African trade efficiency</w:t>
      </w:r>
    </w:p>
    <w:p>
      <w:pPr>
        <w:pStyle w:val="Compact"/>
        <w:numPr>
          <w:ilvl w:val="0"/>
          <w:numId w:val="1"/>
        </w:numPr>
        <w:rPr/>
      </w:pPr>
      <w:r>
        <w:rPr/>
        <w:t>Reduced FX costs</w:t>
      </w:r>
    </w:p>
    <w:p>
      <w:pPr>
        <w:pStyle w:val="Compact"/>
        <w:numPr>
          <w:ilvl w:val="0"/>
          <w:numId w:val="1"/>
        </w:numPr>
        <w:rPr/>
      </w:pPr>
      <w:r>
        <w:rPr/>
        <w:t>Faster cross-border capital movement</w:t>
      </w:r>
    </w:p>
    <w:p>
      <w:pPr>
        <w:pStyle w:val="Compact"/>
        <w:numPr>
          <w:ilvl w:val="0"/>
          <w:numId w:val="1"/>
        </w:numPr>
        <w:rPr/>
      </w:pPr>
      <w:r>
        <w:rPr/>
        <w:t>African-denominated liquidity markets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layer-3-pan-african-liquidity-network"/>
      <w:r>
        <w:rPr/>
        <w:t>Layer 3 — Pan-African Liquidity Network</w:t>
      </w:r>
    </w:p>
    <w:p>
      <w:pPr>
        <w:pStyle w:val="FirstParagraph"/>
        <w:rPr/>
      </w:pPr>
      <w:r>
        <w:rPr/>
        <w:t>Connects:</w:t>
      </w:r>
    </w:p>
    <w:p>
      <w:pPr>
        <w:pStyle w:val="Compact"/>
        <w:numPr>
          <w:ilvl w:val="0"/>
          <w:numId w:val="1"/>
        </w:numPr>
        <w:rPr/>
      </w:pPr>
      <w:r>
        <w:rPr/>
        <w:t>Banks</w:t>
      </w:r>
    </w:p>
    <w:p>
      <w:pPr>
        <w:pStyle w:val="Compact"/>
        <w:numPr>
          <w:ilvl w:val="0"/>
          <w:numId w:val="1"/>
        </w:numPr>
        <w:rPr/>
      </w:pPr>
      <w:r>
        <w:rPr/>
        <w:t>Fintechs</w:t>
      </w:r>
    </w:p>
    <w:p>
      <w:pPr>
        <w:pStyle w:val="Compact"/>
        <w:numPr>
          <w:ilvl w:val="0"/>
          <w:numId w:val="1"/>
        </w:numPr>
        <w:rPr/>
      </w:pPr>
      <w:r>
        <w:rPr/>
        <w:t>Mobile money systems</w:t>
      </w:r>
    </w:p>
    <w:p>
      <w:pPr>
        <w:pStyle w:val="Compact"/>
        <w:numPr>
          <w:ilvl w:val="0"/>
          <w:numId w:val="1"/>
        </w:numPr>
        <w:rPr/>
      </w:pPr>
      <w:r>
        <w:rPr/>
        <w:t>Brokers</w:t>
      </w:r>
    </w:p>
    <w:p>
      <w:pPr>
        <w:pStyle w:val="Compact"/>
        <w:numPr>
          <w:ilvl w:val="0"/>
          <w:numId w:val="1"/>
        </w:numPr>
        <w:rPr/>
      </w:pPr>
      <w:r>
        <w:rPr/>
        <w:t>Regional exchanges</w:t>
      </w:r>
    </w:p>
    <w:p>
      <w:pPr>
        <w:pStyle w:val="Compact"/>
        <w:numPr>
          <w:ilvl w:val="0"/>
          <w:numId w:val="1"/>
        </w:numPr>
        <w:rPr/>
      </w:pPr>
      <w:r>
        <w:rPr/>
        <w:t>Institutional traders</w:t>
      </w:r>
    </w:p>
    <w:p>
      <w:pPr>
        <w:pStyle w:val="Compact"/>
        <w:numPr>
          <w:ilvl w:val="0"/>
          <w:numId w:val="1"/>
        </w:numPr>
        <w:rPr/>
      </w:pPr>
      <w:r>
        <w:rPr/>
        <w:t>Sovereign financial institutions</w:t>
      </w:r>
    </w:p>
    <w:p>
      <w:pPr>
        <w:pStyle w:val="Heading3"/>
        <w:rPr/>
      </w:pPr>
      <w:bookmarkStart w:id="43" w:name="potential-integrations"/>
      <w:r>
        <w:rPr/>
        <w:t>Potential Integrations</w:t>
      </w:r>
    </w:p>
    <w:p>
      <w:pPr>
        <w:pStyle w:val="Compact"/>
        <w:numPr>
          <w:ilvl w:val="0"/>
          <w:numId w:val="1"/>
        </w:numPr>
        <w:rPr/>
      </w:pPr>
      <w:r>
        <w:rPr/>
        <w:t>M-Pesa rails</w:t>
      </w:r>
    </w:p>
    <w:p>
      <w:pPr>
        <w:pStyle w:val="Compact"/>
        <w:numPr>
          <w:ilvl w:val="0"/>
          <w:numId w:val="1"/>
        </w:numPr>
        <w:rPr/>
      </w:pPr>
      <w:r>
        <w:rPr/>
        <w:t>PAPSS</w:t>
      </w:r>
    </w:p>
    <w:p>
      <w:pPr>
        <w:pStyle w:val="Compact"/>
        <w:numPr>
          <w:ilvl w:val="0"/>
          <w:numId w:val="1"/>
        </w:numPr>
        <w:rPr/>
      </w:pPr>
      <w:r>
        <w:rPr/>
        <w:t>Regional commercial banks</w:t>
      </w:r>
    </w:p>
    <w:p>
      <w:pPr>
        <w:pStyle w:val="Compact"/>
        <w:numPr>
          <w:ilvl w:val="0"/>
          <w:numId w:val="1"/>
        </w:numPr>
        <w:rPr/>
      </w:pPr>
      <w:r>
        <w:rPr/>
        <w:t>Central bank systems</w:t>
      </w:r>
    </w:p>
    <w:p>
      <w:pPr>
        <w:pStyle w:val="Compact"/>
        <w:numPr>
          <w:ilvl w:val="0"/>
          <w:numId w:val="1"/>
        </w:numPr>
        <w:rPr/>
      </w:pPr>
      <w:r>
        <w:rPr/>
        <w:t>Cross-border payment infrastructure</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p>
    <w:p>
      <w:pPr>
        <w:pStyle w:val="Heading2"/>
        <w:rPr/>
      </w:pPr>
      <w:bookmarkStart w:id="44" w:name="layer-4-data-intelligence-layer"/>
      <w:r>
        <w:rPr/>
        <w:t>Layer 4 — Data &amp; Intelligence Layer</w:t>
      </w:r>
    </w:p>
    <w:p>
      <w:pPr>
        <w:pStyle w:val="FirstParagraph"/>
        <w:rPr/>
      </w:pPr>
      <w:r>
        <w:rPr/>
        <w:t>Afriqx evolves into a Bloomberg-scale African market intelligence platform.</w:t>
      </w:r>
    </w:p>
    <w:p>
      <w:pPr>
        <w:pStyle w:val="Heading3"/>
        <w:rPr/>
      </w:pPr>
      <w:bookmarkStart w:id="45" w:name="products"/>
      <w:r>
        <w:rPr/>
        <w:t>Products</w:t>
      </w:r>
    </w:p>
    <w:p>
      <w:pPr>
        <w:pStyle w:val="Compact"/>
        <w:numPr>
          <w:ilvl w:val="0"/>
          <w:numId w:val="1"/>
        </w:numPr>
        <w:rPr/>
      </w:pPr>
      <w:r>
        <w:rPr/>
        <w:t>African macroeconomic analytics</w:t>
      </w:r>
    </w:p>
    <w:p>
      <w:pPr>
        <w:pStyle w:val="Compact"/>
        <w:numPr>
          <w:ilvl w:val="0"/>
          <w:numId w:val="1"/>
        </w:numPr>
        <w:rPr/>
      </w:pPr>
      <w:r>
        <w:rPr/>
        <w:t>Real-time FX heatmaps</w:t>
      </w:r>
    </w:p>
    <w:p>
      <w:pPr>
        <w:pStyle w:val="Compact"/>
        <w:numPr>
          <w:ilvl w:val="0"/>
          <w:numId w:val="1"/>
        </w:numPr>
        <w:rPr/>
      </w:pPr>
      <w:r>
        <w:rPr/>
        <w:t>Commodity impact analysis</w:t>
      </w:r>
    </w:p>
    <w:p>
      <w:pPr>
        <w:pStyle w:val="Compact"/>
        <w:numPr>
          <w:ilvl w:val="0"/>
          <w:numId w:val="1"/>
        </w:numPr>
        <w:rPr/>
      </w:pPr>
      <w:r>
        <w:rPr/>
        <w:t>Sovereign debt intelligence</w:t>
      </w:r>
    </w:p>
    <w:p>
      <w:pPr>
        <w:pStyle w:val="Compact"/>
        <w:numPr>
          <w:ilvl w:val="0"/>
          <w:numId w:val="1"/>
        </w:numPr>
        <w:rPr/>
      </w:pPr>
      <w:r>
        <w:rPr/>
        <w:t>Liquidity analytics</w:t>
      </w:r>
    </w:p>
    <w:p>
      <w:pPr>
        <w:pStyle w:val="Compact"/>
        <w:numPr>
          <w:ilvl w:val="0"/>
          <w:numId w:val="1"/>
        </w:numPr>
        <w:rPr/>
      </w:pPr>
      <w:r>
        <w:rPr/>
        <w:t>Cross-border capital flow monitoring</w:t>
      </w:r>
    </w:p>
    <w:p>
      <w:pPr>
        <w:pStyle w:val="Compact"/>
        <w:numPr>
          <w:ilvl w:val="0"/>
          <w:numId w:val="1"/>
        </w:numPr>
        <w:rPr/>
      </w:pPr>
      <w:r>
        <w:rPr/>
        <w:t>Institutional dashboards</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pPr>
      <w:bookmarkStart w:id="46" w:name="layer-5-ai-market-layer"/>
      <w:r>
        <w:rPr/>
        <w:t>Layer 5 — AI Market Layer</w:t>
      </w:r>
    </w:p>
    <w:p>
      <w:pPr>
        <w:pStyle w:val="FirstParagraph"/>
        <w:rPr/>
      </w:pPr>
      <w:r>
        <w:rPr/>
        <w:t>Future AI-powered infrastructure capabilities:</w:t>
      </w:r>
    </w:p>
    <w:p>
      <w:pPr>
        <w:pStyle w:val="Heading3"/>
        <w:rPr/>
      </w:pPr>
      <w:bookmarkStart w:id="47" w:name="ai-features"/>
      <w:r>
        <w:rPr/>
        <w:t>AI Features</w:t>
      </w:r>
    </w:p>
    <w:p>
      <w:pPr>
        <w:pStyle w:val="Compact"/>
        <w:numPr>
          <w:ilvl w:val="0"/>
          <w:numId w:val="1"/>
        </w:numPr>
        <w:rPr/>
      </w:pPr>
      <w:r>
        <w:rPr/>
        <w:t>AI-generated market summaries</w:t>
      </w:r>
    </w:p>
    <w:p>
      <w:pPr>
        <w:pStyle w:val="Compact"/>
        <w:numPr>
          <w:ilvl w:val="0"/>
          <w:numId w:val="1"/>
        </w:numPr>
        <w:rPr/>
      </w:pPr>
      <w:r>
        <w:rPr/>
        <w:t>Predictive liquidity modeling</w:t>
      </w:r>
    </w:p>
    <w:p>
      <w:pPr>
        <w:pStyle w:val="Compact"/>
        <w:numPr>
          <w:ilvl w:val="0"/>
          <w:numId w:val="1"/>
        </w:numPr>
        <w:rPr/>
      </w:pPr>
      <w:r>
        <w:rPr/>
        <w:t>Currency stress detection</w:t>
      </w:r>
    </w:p>
    <w:p>
      <w:pPr>
        <w:pStyle w:val="Compact"/>
        <w:numPr>
          <w:ilvl w:val="0"/>
          <w:numId w:val="1"/>
        </w:numPr>
        <w:rPr/>
      </w:pPr>
      <w:r>
        <w:rPr/>
        <w:t>Arbitrage intelligence</w:t>
      </w:r>
    </w:p>
    <w:p>
      <w:pPr>
        <w:pStyle w:val="Compact"/>
        <w:numPr>
          <w:ilvl w:val="0"/>
          <w:numId w:val="1"/>
        </w:numPr>
        <w:rPr/>
      </w:pPr>
      <w:r>
        <w:rPr/>
        <w:t>Economic trend forecasting</w:t>
      </w:r>
    </w:p>
    <w:p>
      <w:pPr>
        <w:pStyle w:val="Compact"/>
        <w:numPr>
          <w:ilvl w:val="0"/>
          <w:numId w:val="1"/>
        </w:numPr>
        <w:rPr/>
      </w:pPr>
      <w:r>
        <w:rPr/>
        <w:t>Political and macroeconomic impact analysis</w:t>
      </w:r>
    </w:p>
    <w:p>
      <w:pPr>
        <w:pStyle w:val="Compact"/>
        <w:numPr>
          <w:ilvl w:val="0"/>
          <w:numId w:val="1"/>
        </w:numPr>
        <w:rPr/>
      </w:pPr>
      <w:r>
        <w:rPr/>
        <w:t>Automated institutional reporting</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46"/>
      <w:bookmarkEnd w:id="47"/>
    </w:p>
    <w:p>
      <w:pPr>
        <w:pStyle w:val="Heading1"/>
        <w:rPr/>
      </w:pPr>
      <w:bookmarkStart w:id="48" w:name="product-ecosystem"/>
      <w:r>
        <w:rPr/>
        <w:t>Product Ecosystem</w:t>
      </w:r>
    </w:p>
    <w:p>
      <w:pPr>
        <w:pStyle w:val="Heading2"/>
        <w:rPr/>
      </w:pPr>
      <w:bookmarkStart w:id="49" w:name="core-products"/>
      <w:r>
        <w:rPr/>
        <w:t>Core Products</w:t>
      </w:r>
    </w:p>
    <w:p>
      <w:pPr>
        <w:pStyle w:val="Heading3"/>
        <w:rPr/>
      </w:pPr>
      <w:bookmarkStart w:id="50" w:name="afriqx-exchange"/>
      <w:r>
        <w:rPr/>
        <w:t>Afriqx Exchange</w:t>
      </w:r>
    </w:p>
    <w:p>
      <w:pPr>
        <w:pStyle w:val="FirstParagraph"/>
        <w:rPr/>
      </w:pPr>
      <w:r>
        <w:rPr/>
        <w:t>Primary trading and market infrastructure.</w:t>
      </w:r>
      <w:bookmarkEnd w:id="50"/>
    </w:p>
    <w:p>
      <w:pPr>
        <w:pStyle w:val="Heading3"/>
        <w:rPr/>
      </w:pPr>
      <w:bookmarkStart w:id="51" w:name="afriqx-markets"/>
      <w:r>
        <w:rPr/>
        <w:t>Afriqx Markets</w:t>
      </w:r>
    </w:p>
    <w:p>
      <w:pPr>
        <w:pStyle w:val="FirstParagraph"/>
        <w:rPr/>
      </w:pPr>
      <w:r>
        <w:rPr/>
        <w:t>Market data and trading environment.</w:t>
      </w:r>
      <w:bookmarkEnd w:id="51"/>
    </w:p>
    <w:p>
      <w:pPr>
        <w:pStyle w:val="Heading3"/>
        <w:rPr/>
      </w:pPr>
      <w:bookmarkStart w:id="52" w:name="afriqx-fx"/>
      <w:r>
        <w:rPr/>
        <w:t>Afriqx FX</w:t>
      </w:r>
    </w:p>
    <w:p>
      <w:pPr>
        <w:pStyle w:val="FirstParagraph"/>
        <w:rPr/>
      </w:pPr>
      <w:r>
        <w:rPr/>
        <w:t>African currency exchange infrastructure.</w:t>
      </w:r>
      <w:bookmarkEnd w:id="52"/>
    </w:p>
    <w:p>
      <w:pPr>
        <w:pStyle w:val="Heading3"/>
        <w:rPr/>
      </w:pPr>
      <w:bookmarkStart w:id="53" w:name="afriqx-intelligence"/>
      <w:r>
        <w:rPr/>
        <w:t>Afriqx Intelligence</w:t>
      </w:r>
    </w:p>
    <w:p>
      <w:pPr>
        <w:pStyle w:val="FirstParagraph"/>
        <w:rPr/>
      </w:pPr>
      <w:r>
        <w:rPr/>
        <w:t>Data analytics and institutional insights.</w:t>
      </w:r>
      <w:bookmarkEnd w:id="53"/>
    </w:p>
    <w:p>
      <w:pPr>
        <w:pStyle w:val="Heading3"/>
        <w:rPr/>
      </w:pPr>
      <w:bookmarkStart w:id="54" w:name="afriqx-terminal"/>
      <w:r>
        <w:rPr/>
        <w:t>Afriqx Terminal</w:t>
      </w:r>
    </w:p>
    <w:p>
      <w:pPr>
        <w:pStyle w:val="FirstParagraph"/>
        <w:rPr/>
      </w:pPr>
      <w:r>
        <w:rPr/>
        <w:t>Professional institutional trading workspace.</w:t>
      </w:r>
      <w:bookmarkEnd w:id="54"/>
    </w:p>
    <w:p>
      <w:pPr>
        <w:pStyle w:val="Heading3"/>
        <w:rPr/>
      </w:pPr>
      <w:bookmarkStart w:id="55" w:name="afriqx-api"/>
      <w:r>
        <w:rPr/>
        <w:t>Afriqx API</w:t>
      </w:r>
    </w:p>
    <w:p>
      <w:pPr>
        <w:pStyle w:val="FirstParagraph"/>
        <w:rPr/>
      </w:pPr>
      <w:r>
        <w:rPr/>
        <w:t>Developer-focused financial infrastructure APIs.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bookmarkEnd w:id="55"/>
    </w:p>
    <w:p>
      <w:pPr>
        <w:pStyle w:val="Heading1"/>
        <w:rPr/>
      </w:pPr>
      <w:bookmarkStart w:id="56" w:name="uiux-direction"/>
      <w:r>
        <w:rPr/>
        <w:t>UI/UX Direction</w:t>
      </w:r>
    </w:p>
    <w:p>
      <w:pPr>
        <w:pStyle w:val="FirstParagraph"/>
        <w:rPr/>
      </w:pPr>
      <w:r>
        <w:rPr/>
        <w:t>The platform interface should feel like a combination of:</w:t>
      </w:r>
    </w:p>
    <w:p>
      <w:pPr>
        <w:pStyle w:val="Compact"/>
        <w:numPr>
          <w:ilvl w:val="0"/>
          <w:numId w:val="1"/>
        </w:numPr>
        <w:rPr/>
      </w:pPr>
      <w:r>
        <w:rPr/>
        <w:t>Bloomberg Terminal</w:t>
      </w:r>
    </w:p>
    <w:p>
      <w:pPr>
        <w:pStyle w:val="Compact"/>
        <w:numPr>
          <w:ilvl w:val="0"/>
          <w:numId w:val="1"/>
        </w:numPr>
        <w:rPr/>
      </w:pPr>
      <w:r>
        <w:rPr/>
        <w:t>Stripe</w:t>
      </w:r>
    </w:p>
    <w:p>
      <w:pPr>
        <w:pStyle w:val="Compact"/>
        <w:numPr>
          <w:ilvl w:val="0"/>
          <w:numId w:val="1"/>
        </w:numPr>
        <w:rPr/>
      </w:pPr>
      <w:r>
        <w:rPr/>
        <w:t>TradingView</w:t>
      </w:r>
    </w:p>
    <w:p>
      <w:pPr>
        <w:pStyle w:val="Compact"/>
        <w:numPr>
          <w:ilvl w:val="0"/>
          <w:numId w:val="1"/>
        </w:numPr>
        <w:rPr/>
      </w:pPr>
      <w:r>
        <w:rPr/>
        <w:t>Linear</w:t>
      </w:r>
    </w:p>
    <w:p>
      <w:pPr>
        <w:pStyle w:val="Compact"/>
        <w:numPr>
          <w:ilvl w:val="0"/>
          <w:numId w:val="1"/>
        </w:numPr>
        <w:rPr/>
      </w:pPr>
      <w:r>
        <w:rPr/>
        <w:t>Apple-level minimalism</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1"/>
        <w:rPr/>
      </w:pPr>
      <w:bookmarkStart w:id="57" w:name="interface-principles"/>
      <w:r>
        <w:rPr/>
        <w:t>Interface Principles</w:t>
      </w:r>
    </w:p>
    <w:p>
      <w:pPr>
        <w:pStyle w:val="Heading2"/>
        <w:rPr/>
      </w:pPr>
      <w:bookmarkStart w:id="58" w:name="design-style"/>
      <w:r>
        <w:rPr/>
        <w:t>Design Style</w:t>
      </w:r>
    </w:p>
    <w:p>
      <w:pPr>
        <w:pStyle w:val="Compact"/>
        <w:numPr>
          <w:ilvl w:val="0"/>
          <w:numId w:val="1"/>
        </w:numPr>
        <w:rPr/>
      </w:pPr>
      <w:r>
        <w:rPr/>
        <w:t>Minimalistic</w:t>
      </w:r>
    </w:p>
    <w:p>
      <w:pPr>
        <w:pStyle w:val="Compact"/>
        <w:numPr>
          <w:ilvl w:val="0"/>
          <w:numId w:val="1"/>
        </w:numPr>
        <w:rPr/>
      </w:pPr>
      <w:r>
        <w:rPr/>
        <w:t>Modular</w:t>
      </w:r>
    </w:p>
    <w:p>
      <w:pPr>
        <w:pStyle w:val="Compact"/>
        <w:numPr>
          <w:ilvl w:val="0"/>
          <w:numId w:val="1"/>
        </w:numPr>
        <w:rPr/>
      </w:pPr>
      <w:r>
        <w:rPr/>
        <w:t>Data-rich</w:t>
      </w:r>
    </w:p>
    <w:p>
      <w:pPr>
        <w:pStyle w:val="Compact"/>
        <w:numPr>
          <w:ilvl w:val="0"/>
          <w:numId w:val="1"/>
        </w:numPr>
        <w:rPr/>
      </w:pPr>
      <w:r>
        <w:rPr/>
        <w:t>Responsive</w:t>
      </w:r>
    </w:p>
    <w:p>
      <w:pPr>
        <w:pStyle w:val="Compact"/>
        <w:numPr>
          <w:ilvl w:val="0"/>
          <w:numId w:val="1"/>
        </w:numPr>
        <w:rPr/>
      </w:pPr>
      <w:r>
        <w:rPr/>
        <w:t>Institutional-grade</w:t>
      </w:r>
    </w:p>
    <w:p>
      <w:pPr>
        <w:pStyle w:val="Compact"/>
        <w:numPr>
          <w:ilvl w:val="0"/>
          <w:numId w:val="1"/>
        </w:numPr>
        <w:rPr/>
      </w:pPr>
      <w:r>
        <w:rPr/>
        <w:t>Clean information hierarchy</w:t>
      </w:r>
      <w:bookmarkEnd w:id="58"/>
    </w:p>
    <w:p>
      <w:pPr>
        <w:pStyle w:val="Heading2"/>
        <w:rPr/>
      </w:pPr>
      <w:bookmarkStart w:id="59" w:name="core-interface-components"/>
      <w:r>
        <w:rPr/>
        <w:t>Core Interface Components</w:t>
      </w:r>
    </w:p>
    <w:p>
      <w:pPr>
        <w:pStyle w:val="Compact"/>
        <w:numPr>
          <w:ilvl w:val="0"/>
          <w:numId w:val="1"/>
        </w:numPr>
        <w:rPr/>
      </w:pPr>
      <w:r>
        <w:rPr/>
        <w:t>Live market dashboards</w:t>
      </w:r>
    </w:p>
    <w:p>
      <w:pPr>
        <w:pStyle w:val="Compact"/>
        <w:numPr>
          <w:ilvl w:val="0"/>
          <w:numId w:val="1"/>
        </w:numPr>
        <w:rPr/>
      </w:pPr>
      <w:r>
        <w:rPr/>
        <w:t>Real-time African FX maps</w:t>
      </w:r>
    </w:p>
    <w:p>
      <w:pPr>
        <w:pStyle w:val="Compact"/>
        <w:numPr>
          <w:ilvl w:val="0"/>
          <w:numId w:val="1"/>
        </w:numPr>
        <w:rPr/>
      </w:pPr>
      <w:r>
        <w:rPr/>
        <w:t>Liquidity heatmaps</w:t>
      </w:r>
    </w:p>
    <w:p>
      <w:pPr>
        <w:pStyle w:val="Compact"/>
        <w:numPr>
          <w:ilvl w:val="0"/>
          <w:numId w:val="1"/>
        </w:numPr>
        <w:rPr/>
      </w:pPr>
      <w:r>
        <w:rPr/>
        <w:t>Institutional trading workspace</w:t>
      </w:r>
    </w:p>
    <w:p>
      <w:pPr>
        <w:pStyle w:val="Compact"/>
        <w:numPr>
          <w:ilvl w:val="0"/>
          <w:numId w:val="1"/>
        </w:numPr>
        <w:rPr/>
      </w:pPr>
      <w:r>
        <w:rPr/>
        <w:t>Portfolio intelligence panels</w:t>
      </w:r>
    </w:p>
    <w:p>
      <w:pPr>
        <w:pStyle w:val="Compact"/>
        <w:numPr>
          <w:ilvl w:val="0"/>
          <w:numId w:val="1"/>
        </w:numPr>
        <w:rPr/>
      </w:pPr>
      <w:r>
        <w:rPr/>
        <w:t>Cross-market analytics</w:t>
      </w:r>
    </w:p>
    <w:p>
      <w:pPr>
        <w:pStyle w:val="Compact"/>
        <w:numPr>
          <w:ilvl w:val="0"/>
          <w:numId w:val="1"/>
        </w:numPr>
        <w:rPr/>
      </w:pPr>
      <w:r>
        <w:rPr/>
        <w:t>AI-generated insights</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9"/>
    </w:p>
    <w:p>
      <w:pPr>
        <w:pStyle w:val="Heading1"/>
        <w:rPr/>
      </w:pPr>
      <w:bookmarkStart w:id="60" w:name="competitive-advantage"/>
      <w:r>
        <w:rPr/>
        <w:t>Competitive Advantage</w:t>
      </w:r>
    </w:p>
    <w:p>
      <w:pPr>
        <w:pStyle w:val="FirstParagraph"/>
        <w:rPr/>
      </w:pPr>
      <w:r>
        <w:rPr/>
        <w:t>Afriqx’s moat is not simply trading.</w:t>
      </w:r>
    </w:p>
    <w:p>
      <w:pPr>
        <w:pStyle w:val="BodyText"/>
        <w:rPr/>
      </w:pPr>
      <w:r>
        <w:rPr/>
        <w:t>The moat is:</w:t>
      </w:r>
    </w:p>
    <w:p>
      <w:pPr>
        <w:pStyle w:val="Compact"/>
        <w:numPr>
          <w:ilvl w:val="0"/>
          <w:numId w:val="1"/>
        </w:numPr>
        <w:rPr/>
      </w:pPr>
      <w:r>
        <w:rPr/>
        <w:t>African-denominated liquidity</w:t>
      </w:r>
    </w:p>
    <w:p>
      <w:pPr>
        <w:pStyle w:val="Compact"/>
        <w:numPr>
          <w:ilvl w:val="0"/>
          <w:numId w:val="1"/>
        </w:numPr>
        <w:rPr/>
      </w:pPr>
      <w:r>
        <w:rPr/>
        <w:t>Direct African FX routing</w:t>
      </w:r>
    </w:p>
    <w:p>
      <w:pPr>
        <w:pStyle w:val="Compact"/>
        <w:numPr>
          <w:ilvl w:val="0"/>
          <w:numId w:val="1"/>
        </w:numPr>
        <w:rPr/>
      </w:pPr>
      <w:r>
        <w:rPr/>
        <w:t>Cross-border settlement infrastructure</w:t>
      </w:r>
    </w:p>
    <w:p>
      <w:pPr>
        <w:pStyle w:val="Compact"/>
        <w:numPr>
          <w:ilvl w:val="0"/>
          <w:numId w:val="1"/>
        </w:numPr>
        <w:rPr/>
      </w:pPr>
      <w:r>
        <w:rPr/>
        <w:t>Pan-African market intelligence</w:t>
      </w:r>
    </w:p>
    <w:p>
      <w:pPr>
        <w:pStyle w:val="Compact"/>
        <w:numPr>
          <w:ilvl w:val="0"/>
          <w:numId w:val="1"/>
        </w:numPr>
        <w:rPr/>
      </w:pPr>
      <w:r>
        <w:rPr/>
        <w:t>Institutional-grade infrastructure</w:t>
      </w:r>
    </w:p>
    <w:p>
      <w:pPr>
        <w:pStyle w:val="Compact"/>
        <w:numPr>
          <w:ilvl w:val="0"/>
          <w:numId w:val="1"/>
        </w:numPr>
        <w:rPr/>
      </w:pPr>
      <w:r>
        <w:rPr/>
        <w:t>Regional capital integration</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1"/>
        <w:rPr/>
      </w:pPr>
      <w:bookmarkStart w:id="61" w:name="long-term-vision"/>
      <w:r>
        <w:rPr/>
        <w:t>Long-Term Vision</w:t>
      </w:r>
    </w:p>
    <w:p>
      <w:pPr>
        <w:pStyle w:val="FirstParagraph"/>
        <w:rPr/>
      </w:pPr>
      <w:r>
        <w:rPr/>
        <w:t>Afriqx becomes:</w:t>
      </w:r>
    </w:p>
    <w:p>
      <w:pPr>
        <w:pStyle w:val="Compact"/>
        <w:numPr>
          <w:ilvl w:val="0"/>
          <w:numId w:val="1"/>
        </w:numPr>
        <w:rPr/>
      </w:pPr>
      <w:r>
        <w:rPr/>
        <w:t>Africa’s financial infrastructure layer</w:t>
      </w:r>
    </w:p>
    <w:p>
      <w:pPr>
        <w:pStyle w:val="Compact"/>
        <w:numPr>
          <w:ilvl w:val="0"/>
          <w:numId w:val="1"/>
        </w:numPr>
        <w:rPr/>
      </w:pPr>
      <w:r>
        <w:rPr/>
        <w:t>The default exchange network for African assets</w:t>
      </w:r>
    </w:p>
    <w:p>
      <w:pPr>
        <w:pStyle w:val="Compact"/>
        <w:numPr>
          <w:ilvl w:val="0"/>
          <w:numId w:val="1"/>
        </w:numPr>
        <w:rPr/>
      </w:pPr>
      <w:r>
        <w:rPr/>
        <w:t>A continental liquidity operating system</w:t>
      </w:r>
    </w:p>
    <w:p>
      <w:pPr>
        <w:pStyle w:val="Compact"/>
        <w:numPr>
          <w:ilvl w:val="0"/>
          <w:numId w:val="1"/>
        </w:numPr>
        <w:rPr/>
      </w:pPr>
      <w:r>
        <w:rPr/>
        <w:t>A global gateway into African markets</w:t>
      </w:r>
    </w:p>
    <w:p>
      <w:pPr>
        <w:pStyle w:val="Compact"/>
        <w:numPr>
          <w:ilvl w:val="0"/>
          <w:numId w:val="1"/>
        </w:numPr>
        <w:rPr/>
      </w:pPr>
      <w:r>
        <w:rPr/>
        <w:t>The benchmark for African financial intelligence</w:t>
      </w:r>
    </w:p>
    <w:p>
      <w:pPr>
        <w:pStyle w:val="FirstParagraph"/>
        <w:rPr/>
      </w:pPr>
      <w:r>
        <w:rPr/>
        <w:t>Eventually supporting:</w:t>
      </w:r>
    </w:p>
    <w:p>
      <w:pPr>
        <w:pStyle w:val="Compact"/>
        <w:numPr>
          <w:ilvl w:val="0"/>
          <w:numId w:val="1"/>
        </w:numPr>
        <w:rPr/>
      </w:pPr>
      <w:r>
        <w:rPr/>
        <w:t>Stocks</w:t>
      </w:r>
    </w:p>
    <w:p>
      <w:pPr>
        <w:pStyle w:val="Compact"/>
        <w:numPr>
          <w:ilvl w:val="0"/>
          <w:numId w:val="1"/>
        </w:numPr>
        <w:rPr/>
      </w:pPr>
      <w:r>
        <w:rPr/>
        <w:t>ETFs</w:t>
      </w:r>
    </w:p>
    <w:p>
      <w:pPr>
        <w:pStyle w:val="Compact"/>
        <w:numPr>
          <w:ilvl w:val="0"/>
          <w:numId w:val="1"/>
        </w:numPr>
        <w:rPr/>
      </w:pPr>
      <w:r>
        <w:rPr/>
        <w:t>Commodities</w:t>
      </w:r>
    </w:p>
    <w:p>
      <w:pPr>
        <w:pStyle w:val="Compact"/>
        <w:numPr>
          <w:ilvl w:val="0"/>
          <w:numId w:val="1"/>
        </w:numPr>
        <w:rPr/>
      </w:pPr>
      <w:r>
        <w:rPr/>
        <w:t>Bonds</w:t>
      </w:r>
    </w:p>
    <w:p>
      <w:pPr>
        <w:pStyle w:val="Compact"/>
        <w:numPr>
          <w:ilvl w:val="0"/>
          <w:numId w:val="1"/>
        </w:numPr>
        <w:rPr/>
      </w:pPr>
      <w:r>
        <w:rPr/>
        <w:t>Stable settlement layers</w:t>
      </w:r>
    </w:p>
    <w:p>
      <w:pPr>
        <w:pStyle w:val="Compact"/>
        <w:numPr>
          <w:ilvl w:val="0"/>
          <w:numId w:val="1"/>
        </w:numPr>
        <w:rPr/>
      </w:pPr>
      <w:r>
        <w:rPr/>
        <w:t>Tokenized assets</w:t>
      </w:r>
    </w:p>
    <w:p>
      <w:pPr>
        <w:pStyle w:val="Compact"/>
        <w:numPr>
          <w:ilvl w:val="0"/>
          <w:numId w:val="1"/>
        </w:numPr>
        <w:rPr/>
      </w:pPr>
      <w:r>
        <w:rPr/>
        <w:t>AI-powered investment systems</w:t>
      </w:r>
    </w:p>
    <w:p>
      <w:pPr>
        <w:pStyle w:val="Compact"/>
        <w:numPr>
          <w:ilvl w:val="0"/>
          <w:numId w:val="1"/>
        </w:numPr>
        <w:rPr/>
      </w:pPr>
      <w:r>
        <w:rPr/>
        <w:t>Sovereign liquidity infrastructure</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1"/>
        <w:rPr/>
      </w:pPr>
      <w:bookmarkStart w:id="62" w:name="final-brand-statement"/>
      <w:r>
        <w:rPr/>
        <w:t>Final Brand Statement</w:t>
      </w:r>
    </w:p>
    <w:p>
      <w:pPr>
        <w:pStyle w:val="FirstParagraph"/>
        <w:rPr/>
      </w:pPr>
      <w:r>
        <w:rPr/>
        <w:t>AFRIQX</w:t>
      </w:r>
    </w:p>
    <w:p>
      <w:pPr>
        <w:pStyle w:val="BodyText"/>
        <w:rPr/>
      </w:pPr>
      <w:r>
        <w:rPr/>
        <w:t>The Operating System for African Capital Markets.</w:t>
      </w:r>
    </w:p>
    <w:p>
      <w:pPr>
        <w:pStyle w:val="BodyText"/>
        <w:spacing w:before="180" w:after="180"/>
        <w:rPr/>
      </w:pPr>
      <w:r>
        <w:rPr/>
        <w:t>Building the infrastructure powering Africa’s financial future.</w:t>
      </w:r>
      <w:bookmarkEnd w:id="6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LibreOffice/26.2.3.2$Linux_X86_64 LibreOffice_project/d4d5ed47b6084125f28d269a5650105d54dde034</Application>
  <AppVersion>15.0000</AppVersion>
  <Pages>12</Pages>
  <Words>989</Words>
  <Characters>6115</Characters>
  <CharactersWithSpaces>6681</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2026-05-28T18:23:18Z</dcterms:created>
  <dc:creator/>
  <dc:description/>
  <dc:language>en-US</dc:language>
  <cp:lastModifiedBy/>
  <dcterms:modified xsi:type="dcterms:W3CDTF">2026-05-29T12:15:22Z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