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etims-how-we-will-tackle-it"/>
    <w:p>
      <w:pPr>
        <w:pStyle w:val="Heading1"/>
      </w:pPr>
      <w:r>
        <w:t xml:space="preserve">eTIMS: how we will tackle it</w:t>
      </w:r>
    </w:p>
    <w:p>
      <w:pPr>
        <w:pStyle w:val="FirstParagraph"/>
      </w:pPr>
      <w:r>
        <w:t xml:space="preserve">Kenya’s electronic tax invoicing (eTIMS) is the one compliance gap left in this</w:t>
      </w:r>
      <w:r>
        <w:t xml:space="preserve"> </w:t>
      </w:r>
      <w:r>
        <w:t xml:space="preserve">kit. It is not scheduled yet, so this document exists to be argued with before</w:t>
      </w:r>
      <w:r>
        <w:t xml:space="preserve"> </w:t>
      </w:r>
      <w:r>
        <w:t xml:space="preserve">any code is written. It records what the law demands, what eTIMS demands of a</w:t>
      </w:r>
      <w:r>
        <w:t xml:space="preserve"> </w:t>
      </w:r>
      <w:r>
        <w:t xml:space="preserve">till specifically, the four ways in, the one I recommend, and the questions that</w:t>
      </w:r>
      <w:r>
        <w:t xml:space="preserve"> </w:t>
      </w:r>
      <w:r>
        <w:t xml:space="preserve">must be answered first.</w:t>
      </w:r>
    </w:p>
    <w:p>
      <w:pPr>
        <w:pStyle w:val="BodyText"/>
      </w:pPr>
      <w:r>
        <w:t xml:space="preserve">Everything about Etham’s current state below was read off the live site on</w:t>
      </w:r>
      <w:r>
        <w:t xml:space="preserve"> </w:t>
      </w:r>
      <w:r>
        <w:t xml:space="preserve">7 September 2026. Everything about KRA’s requirements carries a source at the</w:t>
      </w:r>
      <w:r>
        <w:t xml:space="preserve"> </w:t>
      </w:r>
      <w:r>
        <w:t xml:space="preserve">end; those must be re-verified against KRA’s own documents on the day work</w:t>
      </w:r>
      <w:r>
        <w:t xml:space="preserve"> </w:t>
      </w:r>
      <w:r>
        <w:t xml:space="preserve">starts, because the rules have moved repeatedly since 2023.</w:t>
      </w:r>
    </w:p>
    <w:p>
      <w:r>
        <w:pict>
          <v:rect style="width:0;height:1.5pt" o:hralign="center" o:hrstd="t" o:hr="t"/>
        </w:pict>
      </w:r>
    </w:p>
    <w:bookmarkStart w:id="20" w:name="the-decision-that-comes-before-the-code"/>
    <w:p>
      <w:pPr>
        <w:pStyle w:val="Heading2"/>
      </w:pPr>
      <w:r>
        <w:t xml:space="preserve">0. The decision that comes before the code</w:t>
      </w:r>
    </w:p>
    <w:p>
      <w:pPr>
        <w:pStyle w:val="FirstParagraph"/>
      </w:pPr>
      <w:r>
        <w:rPr>
          <w:b/>
          <w:bCs/>
        </w:rPr>
        <w:t xml:space="preserve">Etham charges no VAT today.</w:t>
      </w:r>
      <w:r>
        <w:t xml:space="preserve"> </w:t>
      </w:r>
      <w:r>
        <w:t xml:space="preserve">On the live site: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on 7 Sep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 KRA PIN (</w:t>
            </w:r>
            <w:r>
              <w:rPr>
                <w:rStyle w:val="VerbatimChar"/>
              </w:rPr>
              <w:t xml:space="preserve">Company.tax_id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VAT on submitted invoices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</w:t>
            </w:r>
            <w:r>
              <w:t xml:space="preserve"> </w:t>
            </w:r>
            <w:r>
              <w:t xml:space="preserve">on every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tax template</w:t>
            </w:r>
            <w:r>
              <w:t xml:space="preserve"> </w:t>
            </w:r>
            <w:r>
              <w:rPr>
                <w:rStyle w:val="VerbatimChar"/>
              </w:rPr>
              <w:t xml:space="preserve">Kenya Tax - 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exists, 16% on net, VAT-</w:t>
            </w:r>
            <w:r>
              <w:rPr>
                <w:b/>
                <w:bCs/>
              </w:rPr>
              <w:t xml:space="preserve">exclusive</w:t>
            </w:r>
            <w:r>
              <w:t xml:space="preserve">, not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 Profile</w:t>
            </w:r>
            <w:r>
              <w:t xml:space="preserve"> </w:t>
            </w:r>
            <w:r>
              <w:rPr>
                <w:rStyle w:val="VerbatimChar"/>
              </w:rPr>
              <w:t xml:space="preserve">taxes_and_charges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set, so the template never applies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Items carrying an item tax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of 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Customers with a PIN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of 11</w:t>
            </w:r>
          </w:p>
        </w:tc>
      </w:tr>
    </w:tbl>
    <w:p>
      <w:pPr>
        <w:pStyle w:val="BodyText"/>
      </w:pPr>
      <w:r>
        <w:t xml:space="preserve">eTIMS transmits what you invoice. Wire it up tomorrow and it would faithfully</w:t>
      </w:r>
      <w:r>
        <w:t xml:space="preserve"> </w:t>
      </w:r>
      <w:r>
        <w:t xml:space="preserve">report zero-VAT invoices, which fixes nothing and creates a signed record of the</w:t>
      </w:r>
      <w:r>
        <w:t xml:space="preserve"> </w:t>
      </w:r>
      <w:r>
        <w:t xml:space="preserve">under-charging. So the first phase is not technical: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 Etham VAT registered, and from when?</w:t>
      </w:r>
      <w:r>
        <w:t xml:space="preserve"> </w:t>
      </w:r>
      <w:r>
        <w:t xml:space="preserve">The PIN and the effective date</w:t>
      </w:r>
      <w:r>
        <w:t xml:space="preserve"> </w:t>
      </w:r>
      <w:r>
        <w:t xml:space="preserve">decide whether this is a compliance project or a nice-to-have. Note that the</w:t>
      </w:r>
      <w:r>
        <w:t xml:space="preserve"> </w:t>
      </w:r>
      <w:r>
        <w:t xml:space="preserve">2024 regulations reach beyond VAT registration (§1), so eTIMS may apply even</w:t>
      </w:r>
      <w:r>
        <w:t xml:space="preserve"> </w:t>
      </w:r>
      <w:r>
        <w:t xml:space="preserve">if VAT does not.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Are menu prices VAT-inclusive or VAT-exclusive?</w:t>
      </w:r>
      <w:r>
        <w:t xml:space="preserve"> </w:t>
      </w:r>
      <w:r>
        <w:t xml:space="preserve">The existing template is</w:t>
      </w:r>
      <w:r>
        <w:t xml:space="preserve"> </w:t>
      </w:r>
      <w:r>
        <w:t xml:space="preserve">exclusive, which would add 16% on top of every price on the menu. Inclusive</w:t>
      </w:r>
      <w:r>
        <w:t xml:space="preserve"> </w:t>
      </w:r>
      <w:r>
        <w:t xml:space="preserve">means Etham absorbs roughly 13.8% of current takings instead. That is a</w:t>
      </w:r>
      <w:r>
        <w:t xml:space="preserve"> </w:t>
      </w:r>
      <w:r>
        <w:t xml:space="preserve">pricing decision with a real revenue effect, and it is the client’s to make,</w:t>
      </w:r>
      <w:r>
        <w:t xml:space="preserve"> </w:t>
      </w:r>
      <w:r>
        <w:t xml:space="preserve">not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Which supplies are standard-rated?</w:t>
      </w:r>
      <w:r>
        <w:t xml:space="preserve"> </w:t>
      </w:r>
      <w:r>
        <w:t xml:space="preserve">Prepared food and restaurant service</w:t>
      </w:r>
      <w:r>
        <w:t xml:space="preserve"> </w:t>
      </w:r>
      <w:r>
        <w:t xml:space="preserve">are normally standard-rated; some packaged goods and water may differ. This</w:t>
      </w:r>
      <w:r>
        <w:t xml:space="preserve"> </w:t>
      </w:r>
      <w:r>
        <w:t xml:space="preserve">needs a line-by-line pass over the menu with whoever does Etham’s tax.</w:t>
      </w:r>
    </w:p>
    <w:p>
      <w:pPr>
        <w:pStyle w:val="FirstParagraph"/>
      </w:pPr>
      <w:r>
        <w:t xml:space="preserve">Nothing in phases 1 onward is safe to build until those three are answered,</w:t>
      </w:r>
      <w:r>
        <w:t xml:space="preserve"> </w:t>
      </w:r>
      <w:r>
        <w:t xml:space="preserve">because they determine the tax classification carried on every transmitted line.</w:t>
      </w:r>
    </w:p>
    <w:p>
      <w:r>
        <w:pict>
          <v:rect style="width:0;height:1.5pt" o:hralign="center" o:hrstd="t" o:hr="t"/>
        </w:pict>
      </w:r>
    </w:p>
    <w:bookmarkEnd w:id="20"/>
    <w:bookmarkStart w:id="21" w:name="what-the-law-requires"/>
    <w:p>
      <w:pPr>
        <w:pStyle w:val="Heading2"/>
      </w:pPr>
      <w:r>
        <w:t xml:space="preserve">1. What the law requires</w:t>
      </w:r>
    </w:p>
    <w:p>
      <w:pPr>
        <w:pStyle w:val="FirstParagraph"/>
      </w:pPr>
      <w:r>
        <w:t xml:space="preserve">Under the Tax Procedures (Electronic Tax Invoice) Regulations 2024, every person</w:t>
      </w:r>
      <w:r>
        <w:t xml:space="preserve"> </w:t>
      </w:r>
      <w:r>
        <w:t xml:space="preserve">carrying on business in Kenya must generate and transmit invoices electronically</w:t>
      </w:r>
      <w:r>
        <w:t xml:space="preserve"> </w:t>
      </w:r>
      <w:r>
        <w:t xml:space="preserve">through eTIMS, whether or not they are VAT registered, for business invoices</w:t>
      </w:r>
      <w:r>
        <w:t xml:space="preserve"> </w:t>
      </w:r>
      <w:r>
        <w:t xml:space="preserve">above KES 100. Exemptions are narrow and do not cover a restaurant.</w:t>
      </w:r>
    </w:p>
    <w:p>
      <w:pPr>
        <w:pStyle w:val="BodyText"/>
      </w:pPr>
      <w:r>
        <w:t xml:space="preserve">Failure to issue an eTIMS invoice for a taxable supply attracts a penalty of</w:t>
      </w:r>
      <w:r>
        <w:t xml:space="preserve"> </w:t>
      </w:r>
      <w:r>
        <w:t xml:space="preserve">twice the tax due on that supply, subject to a minimum of KES 100,000, with</w:t>
      </w:r>
      <w:r>
        <w:t xml:space="preserve"> </w:t>
      </w:r>
      <w:r>
        <w:t xml:space="preserve">wider Tax Procedures Act penalties reaching KES 1,000,000 or imprisonment.</w:t>
      </w:r>
      <w:r>
        <w:t xml:space="preserve"> </w:t>
      </w:r>
      <w:r>
        <w:t xml:space="preserve">Enforcement has tightened each year since 2024.</w:t>
      </w:r>
    </w:p>
    <w:p>
      <w:pPr>
        <w:pStyle w:val="BodyText"/>
      </w:pPr>
      <w:r>
        <w:rPr>
          <w:b/>
          <w:bCs/>
        </w:rPr>
        <w:t xml:space="preserve">Read this as: not optional, and the downside is not a fine we can absorb</w:t>
      </w:r>
      <w:r>
        <w:rPr>
          <w:b/>
          <w:bCs/>
        </w:rPr>
        <w:t xml:space="preserve"> </w:t>
      </w:r>
      <w:r>
        <w:rPr>
          <w:b/>
          <w:bCs/>
        </w:rPr>
        <w:t xml:space="preserve">quietly.</w:t>
      </w:r>
      <w:r>
        <w:t xml:space="preserve"> </w:t>
      </w:r>
      <w:r>
        <w:t xml:space="preserve">It is also a reason not to rush: a half-integration that transmits</w:t>
      </w:r>
      <w:r>
        <w:t xml:space="preserve"> </w:t>
      </w:r>
      <w:r>
        <w:t xml:space="preserve">wrong tax classifications is worse than a documented, dated plan to integrate.</w:t>
      </w:r>
    </w:p>
    <w:p>
      <w:r>
        <w:pict>
          <v:rect style="width:0;height:1.5pt" o:hralign="center" o:hrstd="t" o:hr="t"/>
        </w:pict>
      </w:r>
    </w:p>
    <w:bookmarkEnd w:id="21"/>
    <w:bookmarkStart w:id="22" w:name="what-etims-demands-of-a-till"/>
    <w:p>
      <w:pPr>
        <w:pStyle w:val="Heading2"/>
      </w:pPr>
      <w:r>
        <w:t xml:space="preserve">2. What eTIMS demands of a till</w:t>
      </w:r>
    </w:p>
    <w:p>
      <w:pPr>
        <w:pStyle w:val="FirstParagraph"/>
      </w:pPr>
      <w:r>
        <w:t xml:space="preserve">An eTIMS tax invoice must carry, at minimum: the seller’s PIN, the buyer’s PIN</w:t>
      </w:r>
      <w:r>
        <w:t xml:space="preserve"> </w:t>
      </w:r>
      <w:r>
        <w:t xml:space="preserve">where the buyer will claim input tax, a unique serial invoice number, the date</w:t>
      </w:r>
      <w:r>
        <w:t xml:space="preserve"> </w:t>
      </w:r>
      <w:r>
        <w:t xml:space="preserve">and time of issue, per-line item code, description, quantity, unit, tax rate,</w:t>
      </w:r>
      <w:r>
        <w:t xml:space="preserve"> </w:t>
      </w:r>
      <w:r>
        <w:t xml:space="preserve">the gross and tax amounts, and</w:t>
      </w:r>
      <w:r>
        <w:t xml:space="preserve"> </w:t>
      </w:r>
      <w:r>
        <w:rPr>
          <w:b/>
          <w:bCs/>
        </w:rPr>
        <w:t xml:space="preserve">the control number and QR code that KRA returns</w:t>
      </w:r>
      <w:r>
        <w:rPr>
          <w:b/>
          <w:bCs/>
        </w:rPr>
        <w:t xml:space="preserve"> </w:t>
      </w:r>
      <w:r>
        <w:rPr>
          <w:b/>
          <w:bCs/>
        </w:rPr>
        <w:t xml:space="preserve">when the invoice is transmitted</w:t>
      </w:r>
      <w:r>
        <w:t xml:space="preserve">.</w:t>
      </w:r>
    </w:p>
    <w:p>
      <w:pPr>
        <w:pStyle w:val="BodyText"/>
      </w:pPr>
      <w:r>
        <w:t xml:space="preserve">That last clause is the whole problem for a point of sale. Without the control</w:t>
      </w:r>
      <w:r>
        <w:t xml:space="preserve"> </w:t>
      </w:r>
      <w:r>
        <w:t xml:space="preserve">number and QR, what the customer holds is a receipt, not a compliant tax</w:t>
      </w:r>
      <w:r>
        <w:t xml:space="preserve"> </w:t>
      </w:r>
      <w:r>
        <w:t xml:space="preserve">invoice. Our till prints the receipt the instant payment is confirmed, from a</w:t>
      </w:r>
      <w:r>
        <w:t xml:space="preserve"> </w:t>
      </w:r>
      <w:r>
        <w:t xml:space="preserve">hidden frame in the same tab. So either</w:t>
      </w:r>
    </w:p>
    <w:p>
      <w:pPr>
        <w:pStyle w:val="Compact"/>
        <w:numPr>
          <w:ilvl w:val="0"/>
          <w:numId w:val="1002"/>
        </w:numPr>
      </w:pPr>
      <w:r>
        <w:t xml:space="preserve">the invoice is transmitted and acknowledged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receipt prints, and</w:t>
      </w:r>
      <w:r>
        <w:t xml:space="preserve"> </w:t>
      </w:r>
      <w:r>
        <w:t xml:space="preserve">the till now waits on KRA for every sale, or</w:t>
      </w:r>
    </w:p>
    <w:p>
      <w:pPr>
        <w:pStyle w:val="Compact"/>
        <w:numPr>
          <w:ilvl w:val="0"/>
          <w:numId w:val="1002"/>
        </w:numPr>
      </w:pPr>
      <w:r>
        <w:t xml:space="preserve">the invoice is signed</w:t>
      </w:r>
      <w:r>
        <w:t xml:space="preserve"> </w:t>
      </w:r>
      <w:r>
        <w:rPr>
          <w:b/>
          <w:bCs/>
        </w:rPr>
        <w:t xml:space="preserve">locally</w:t>
      </w:r>
      <w:r>
        <w:t xml:space="preserve"> </w:t>
      </w:r>
      <w:r>
        <w:t xml:space="preserve">by a control unit on our side, and the</w:t>
      </w:r>
      <w:r>
        <w:t xml:space="preserve"> </w:t>
      </w:r>
      <w:r>
        <w:t xml:space="preserve">acknowledged copy follows asynchronously.</w:t>
      </w:r>
    </w:p>
    <w:p>
      <w:pPr>
        <w:pStyle w:val="FirstParagraph"/>
      </w:pPr>
      <w:r>
        <w:t xml:space="preserve">Which of those is available depends entirely on the path chosen in §3. It is the</w:t>
      </w:r>
      <w:r>
        <w:t xml:space="preserve"> </w:t>
      </w:r>
      <w:r>
        <w:t xml:space="preserve">single most consequential decision in this document.</w:t>
      </w:r>
    </w:p>
    <w:p>
      <w:pPr>
        <w:pStyle w:val="BodyText"/>
      </w:pPr>
      <w:r>
        <w:t xml:space="preserve">Beyond the invoice itself, eTIMS expects: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Items registered and classified before sale.</w:t>
      </w:r>
      <w:r>
        <w:t xml:space="preserve"> </w:t>
      </w:r>
      <w:r>
        <w:t xml:space="preserve">Every menu item needs a KRA</w:t>
      </w:r>
      <w:r>
        <w:t xml:space="preserve"> </w:t>
      </w:r>
      <w:r>
        <w:t xml:space="preserve">classification code and a registration call. An unregistered item cannot</w:t>
      </w:r>
      <w:r>
        <w:t xml:space="preserve"> </w:t>
      </w:r>
      <w:r>
        <w:t xml:space="preserve">lawfully be sold.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Credit notes</w:t>
      </w:r>
      <w:r>
        <w:t xml:space="preserve"> </w:t>
      </w:r>
      <w:r>
        <w:t xml:space="preserve">referencing the original invoice, for anything cancelled or</w:t>
      </w:r>
      <w:r>
        <w:t xml:space="preserve"> </w:t>
      </w:r>
      <w:r>
        <w:t xml:space="preserve">refunded.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Stock movement reporting</w:t>
      </w:r>
      <w:r>
        <w:t xml:space="preserve">, on the control-unit paths.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per-branch identity</w:t>
      </w:r>
      <w:r>
        <w:t xml:space="preserve">: the communication key is derived from the company</w:t>
      </w:r>
      <w:r>
        <w:t xml:space="preserve"> </w:t>
      </w:r>
      <w:r>
        <w:t xml:space="preserve">PIN, a branch ID and a device serial number, and KRA issues it once.</w:t>
      </w:r>
    </w:p>
    <w:p>
      <w:r>
        <w:pict>
          <v:rect style="width:0;height:1.5pt" o:hralign="center" o:hrstd="t" o:hr="t"/>
        </w:pict>
      </w:r>
    </w:p>
    <w:bookmarkEnd w:id="22"/>
    <w:bookmarkStart w:id="26" w:name="the-four-ways-in"/>
    <w:p>
      <w:pPr>
        <w:pStyle w:val="Heading2"/>
      </w:pPr>
      <w:r>
        <w:t xml:space="preserve">3. The four ways in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for this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eTIMS 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KRA’s web portal, invoices keyed by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A busy service cannot key invoices into a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OSCU, self-integrated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code calls KRA’s API per invoice; the control unit lives at KRA and requires the till to be online for every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Possible, but couples every payment to KRA’s uptime and to a Nairobi→Europe→KRA round 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must be vetted and certified by KRA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VSCU, self-integrated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KRA’s control-unit package runs on our side, signs locally, uploads in bulk; built for high volume and imperfect 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Architecturally the best fit: local signing lets the receipt print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must be vetted and certified by KRA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Approved third-party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integrator already certified by KRA (for example Slade360 / Savannah Informatics) sits between us and eTIMS, over VSCU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 to live, and an ERPNext app for this path already exists and is actively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Theirs, not ours</w:t>
            </w:r>
          </w:p>
        </w:tc>
      </w:tr>
    </w:tbl>
    <w:bookmarkStart w:id="23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rPr>
          <w:b/>
          <w:bCs/>
        </w:rPr>
        <w:t xml:space="preserve">Start on the third-party middleware path, and keep VSCU self-integration as</w:t>
      </w:r>
      <w:r>
        <w:rPr>
          <w:b/>
          <w:bCs/>
        </w:rPr>
        <w:t xml:space="preserve"> </w:t>
      </w:r>
      <w:r>
        <w:rPr>
          <w:b/>
          <w:bCs/>
        </w:rPr>
        <w:t xml:space="preserve">the fallback.</w:t>
      </w:r>
      <w:r>
        <w:t xml:space="preserve"> </w:t>
      </w:r>
      <w:r>
        <w:t xml:space="preserve">Three reasons:</w:t>
      </w:r>
    </w:p>
    <w:p>
      <w:pPr>
        <w:pStyle w:val="Compact"/>
        <w:numPr>
          <w:ilvl w:val="0"/>
          <w:numId w:val="1004"/>
        </w:numPr>
      </w:pPr>
      <w:r>
        <w:t xml:space="preserve">It takes KRA certification off our critical path. Certification lead time is</w:t>
      </w:r>
      <w:r>
        <w:t xml:space="preserve"> </w:t>
      </w:r>
      <w:r>
        <w:t xml:space="preserve">entirely outside our control and would otherwise gate the whole project.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navariltd/kenya-compliance-via-slade</w:t>
      </w:r>
      <w:r>
        <w:t xml:space="preserve"> </w:t>
      </w:r>
      <w:r>
        <w:t xml:space="preserve">already integrates ERPNext with eTIMS</w:t>
      </w:r>
      <w:r>
        <w:t xml:space="preserve"> </w:t>
      </w:r>
      <w:r>
        <w:t xml:space="preserve">over that route and is under active development. Its sibling for direct OSCU,</w:t>
      </w:r>
      <w:r>
        <w:t xml:space="preserve"> </w:t>
      </w:r>
      <w:r>
        <w:rPr>
          <w:rStyle w:val="VerbatimChar"/>
        </w:rPr>
        <w:t xml:space="preserve">navariltd/kenya-compliance</w:t>
      </w:r>
      <w:r>
        <w:t xml:space="preserve">, is explicitly no longer maintained, which is a</w:t>
      </w:r>
      <w:r>
        <w:t xml:space="preserve"> </w:t>
      </w:r>
      <w:r>
        <w:t xml:space="preserve">strong signal about which route survives.</w:t>
      </w:r>
    </w:p>
    <w:p>
      <w:pPr>
        <w:pStyle w:val="Compact"/>
        <w:numPr>
          <w:ilvl w:val="0"/>
          <w:numId w:val="1004"/>
        </w:numPr>
      </w:pPr>
      <w:r>
        <w:t xml:space="preserve">Middleware fees are a per-site running cost we can price into the product,</w:t>
      </w:r>
      <w:r>
        <w:t xml:space="preserve"> </w:t>
      </w:r>
      <w:r>
        <w:t xml:space="preserve">whereas certification is a one-off cost we cannot schedule.</w:t>
      </w:r>
    </w:p>
    <w:p>
      <w:pPr>
        <w:pStyle w:val="FirstParagraph"/>
      </w:pPr>
      <w:r>
        <w:t xml:space="preserve">The fallback matters because the middleware becomes a dependency in the payment</w:t>
      </w:r>
      <w:r>
        <w:t xml:space="preserve"> </w:t>
      </w:r>
      <w:r>
        <w:t xml:space="preserve">path and a recurring cost per restaurant. If either turns out unacceptable at</w:t>
      </w:r>
      <w:r>
        <w:t xml:space="preserve"> </w:t>
      </w:r>
      <w:r>
        <w:t xml:space="preserve">scale, VSCU self-integration is the same architecture without the intermediary.</w:t>
      </w:r>
    </w:p>
    <w:bookmarkEnd w:id="23"/>
    <w:bookmarkStart w:id="24" w:name="how-this-app-came-to-our-attention"/>
    <w:p>
      <w:pPr>
        <w:pStyle w:val="Heading3"/>
      </w:pPr>
      <w:r>
        <w:t xml:space="preserve">How this app came to our attention</w:t>
      </w:r>
    </w:p>
    <w:p>
      <w:pPr>
        <w:pStyle w:val="FirstParagraph"/>
      </w:pPr>
      <w:r>
        <w:rPr>
          <w:rStyle w:val="VerbatimChar"/>
        </w:rPr>
        <w:t xml:space="preserve">overrides/apps.txt</w:t>
      </w:r>
      <w:r>
        <w:t xml:space="preserve"> </w:t>
      </w:r>
      <w:r>
        <w:t xml:space="preserve">on the server turned out to be shell history pasted into a</w:t>
      </w:r>
      <w:r>
        <w:t xml:space="preserve"> </w:t>
      </w:r>
      <w:r>
        <w:t xml:space="preserve">file by mistake, and it contained a URL for</w:t>
      </w:r>
      <w:r>
        <w:t xml:space="preserve"> </w:t>
      </w:r>
      <w:r>
        <w:rPr>
          <w:rStyle w:val="VerbatimChar"/>
        </w:rPr>
        <w:t xml:space="preserve">kenya-compliance-via-slade</w:t>
      </w:r>
      <w:r>
        <w:t xml:space="preserve">. Nothing</w:t>
      </w:r>
      <w:r>
        <w:t xml:space="preserve"> </w:t>
      </w:r>
      <w:r>
        <w:t xml:space="preserve">referenced it and the app was never installed. Worth knowing so nobody mistakes</w:t>
      </w:r>
      <w:r>
        <w:t xml:space="preserve"> </w:t>
      </w:r>
      <w:r>
        <w:t xml:space="preserve">that line for a decision already taken.</w:t>
      </w:r>
    </w:p>
    <w:bookmarkEnd w:id="24"/>
    <w:bookmarkStart w:id="25" w:name="what-must-be-evaluated-before-committing"/>
    <w:p>
      <w:pPr>
        <w:pStyle w:val="Heading3"/>
      </w:pPr>
      <w:r>
        <w:t xml:space="preserve">What must be evaluated before committing</w:t>
      </w:r>
    </w:p>
    <w:p>
      <w:pPr>
        <w:pStyle w:val="FirstParagraph"/>
      </w:pPr>
      <w:r>
        <w:t xml:space="preserve">The existing app is a candidate, not a decision. Before adopting it: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fit.</w:t>
      </w:r>
      <w:r>
        <w:t xml:space="preserve"> </w:t>
      </w:r>
      <w:r>
        <w:t xml:space="preserve">The Slade app carries a</w:t>
      </w:r>
      <w:r>
        <w:t xml:space="preserve"> </w:t>
      </w:r>
      <w:r>
        <w:rPr>
          <w:rStyle w:val="VerbatimChar"/>
        </w:rPr>
        <w:t xml:space="preserve">version-16</w:t>
      </w:r>
      <w:r>
        <w:t xml:space="preserve"> </w:t>
      </w:r>
      <w:r>
        <w:t xml:space="preserve">branch at tag</w:t>
      </w:r>
      <w:r>
        <w:t xml:space="preserve"> </w:t>
      </w:r>
      <w:r>
        <w:rPr>
          <w:rStyle w:val="VerbatimChar"/>
        </w:rPr>
        <w:t xml:space="preserve">16.5.2</w:t>
      </w:r>
      <w:r>
        <w:t xml:space="preserve">,</w:t>
      </w:r>
      <w:r>
        <w:t xml:space="preserve"> </w:t>
      </w:r>
      <w:r>
        <w:t xml:space="preserve">which is why it is the candidate; we run frappe 16.31.0 and ERPNext 16.32.3, so</w:t>
      </w:r>
      <w:r>
        <w:t xml:space="preserve"> </w:t>
      </w:r>
      <w:r>
        <w:t xml:space="preserve">confirm that tag against those two rather than trusting the branch name. The</w:t>
      </w:r>
      <w:r>
        <w:t xml:space="preserve"> </w:t>
      </w:r>
      <w:r>
        <w:t xml:space="preserve">direct OSCU app states no version support at all.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 Invoice coverage.</w:t>
      </w:r>
      <w:r>
        <w:t xml:space="preserve"> </w:t>
      </w:r>
      <w:r>
        <w:t xml:space="preserve">Our sales are POS Invoices submitted at payment and</w:t>
      </w:r>
      <w:r>
        <w:t xml:space="preserve"> </w:t>
      </w:r>
      <w:r>
        <w:t xml:space="preserve">consolidated at day close. An app built around Sales Invoice submission may</w:t>
      </w:r>
      <w:r>
        <w:t xml:space="preserve"> </w:t>
      </w:r>
      <w:r>
        <w:t xml:space="preserve">transmit at the wrong moment, or twice.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Credit notes.</w:t>
      </w:r>
      <w:r>
        <w:t xml:space="preserve"> </w:t>
      </w:r>
      <w:r>
        <w:t xml:space="preserve">Not mentioned in the OSCU app’s documentation. Verify in the</w:t>
      </w:r>
      <w:r>
        <w:t xml:space="preserve"> </w:t>
      </w:r>
      <w:r>
        <w:t xml:space="preserve">Slade app’s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Patch-layer coexistence.</w:t>
      </w:r>
      <w:r>
        <w:t xml:space="preserve"> </w:t>
      </w:r>
      <w:r>
        <w:t xml:space="preserve">We already patch</w:t>
      </w:r>
      <w:r>
        <w:t xml:space="preserve"> </w:t>
      </w:r>
      <w:r>
        <w:rPr>
          <w:rStyle w:val="VerbatimChar"/>
        </w:rPr>
        <w:t xml:space="preserve">table_order.py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make_invoice</w:t>
      </w:r>
      <w:r>
        <w:t xml:space="preserve">. Another app hooking the same submission needs its order of</w:t>
      </w:r>
      <w:r>
        <w:t xml:space="preserve"> </w:t>
      </w:r>
      <w:r>
        <w:t xml:space="preserve">operations pinned down, and our patches must anchor on source it does not move.</w:t>
      </w:r>
    </w:p>
    <w:p>
      <w:pPr>
        <w:pStyle w:val="FirstParagraph"/>
      </w:pPr>
      <w:r>
        <w:t xml:space="preserve">If the app fits, we contribute our restaurant-specific pieces upstream rather</w:t>
      </w:r>
      <w:r>
        <w:t xml:space="preserve"> </w:t>
      </w:r>
      <w:r>
        <w:t xml:space="preserve">than forking it. If it does not, we write a thin app of our own against the same</w:t>
      </w:r>
      <w:r>
        <w:t xml:space="preserve"> </w:t>
      </w:r>
      <w:r>
        <w:t xml:space="preserve">middleware API and keep the surface small.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where-it-lands-in-this-architecture"/>
    <w:p>
      <w:pPr>
        <w:pStyle w:val="Heading2"/>
      </w:pPr>
      <w:r>
        <w:t xml:space="preserve">4. Where it lands in this architecture</w:t>
      </w:r>
    </w:p>
    <w:bookmarkStart w:id="27" w:name="X5e06359fd78e6a17abb33db8075e30ef3410952"/>
    <w:p>
      <w:pPr>
        <w:pStyle w:val="Heading3"/>
      </w:pPr>
      <w:r>
        <w:t xml:space="preserve">The tax invoice is the POS Invoice, not the day-close consolidation</w:t>
      </w:r>
    </w:p>
    <w:p>
      <w:pPr>
        <w:pStyle w:val="FirstParagraph"/>
      </w:pPr>
      <w:r>
        <w:t xml:space="preserve">A guest pays,</w:t>
      </w:r>
      <w:r>
        <w:t xml:space="preserve"> </w:t>
      </w:r>
      <w:r>
        <w:rPr>
          <w:rStyle w:val="VerbatimChar"/>
        </w:rPr>
        <w:t xml:space="preserve">TableOrder.make_invoice</w:t>
      </w:r>
      <w:r>
        <w:t xml:space="preserve"> </w:t>
      </w:r>
      <w:r>
        <w:t xml:space="preserve">submits a POS Invoice, the receipt</w:t>
      </w:r>
      <w:r>
        <w:t xml:space="preserve"> </w:t>
      </w:r>
      <w:r>
        <w:t xml:space="preserve">prints. At close of day those POS Invoices consolidate into Sales Invoices. The</w:t>
      </w:r>
      <w:r>
        <w:t xml:space="preserve"> </w:t>
      </w:r>
      <w:r>
        <w:t xml:space="preserve">document the customer is handed is the POS Invoice, so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is the tax</w:t>
      </w:r>
      <w:r>
        <w:t xml:space="preserve"> </w:t>
      </w:r>
      <w:r>
        <w:t xml:space="preserve">invoice and that is what must be transmitted. Transmitting the consolidated</w:t>
      </w:r>
      <w:r>
        <w:t xml:space="preserve"> </w:t>
      </w:r>
      <w:r>
        <w:t xml:space="preserve">Sales Invoice instead would report one invoice per day with no customer detail,</w:t>
      </w:r>
      <w:r>
        <w:t xml:space="preserve"> </w:t>
      </w:r>
      <w:r>
        <w:t xml:space="preserve">which is not what the customer holds in their hand.</w:t>
      </w:r>
    </w:p>
    <w:bookmarkEnd w:id="27"/>
    <w:bookmarkStart w:id="28" w:name="the-receipt-and-the-control-number"/>
    <w:p>
      <w:pPr>
        <w:pStyle w:val="Heading3"/>
      </w:pPr>
      <w:r>
        <w:t xml:space="preserve">The receipt and the control number</w:t>
      </w:r>
    </w:p>
    <w:p>
      <w:pPr>
        <w:pStyle w:val="FirstParagraph"/>
      </w:pPr>
      <w:r>
        <w:t xml:space="preserve">This is the crux from §2, and it is where our own latency work matters. The</w:t>
      </w:r>
      <w:r>
        <w:t xml:space="preserve"> </w:t>
      </w:r>
      <w:r>
        <w:t xml:space="preserve">server is in France, the restaurant in Nairobi: 300 to 600 ms per API call</w:t>
      </w:r>
      <w:r>
        <w:t xml:space="preserve"> </w:t>
      </w:r>
      <w:r>
        <w:t xml:space="preserve">before KRA is involved at all. A synchronous KRA hop inside the payment path</w:t>
      </w:r>
      <w:r>
        <w:t xml:space="preserve"> </w:t>
      </w:r>
      <w:r>
        <w:t xml:space="preserve">adds to that and makes every sale dependent on KRA being up.</w:t>
      </w:r>
    </w:p>
    <w:p>
      <w:pPr>
        <w:pStyle w:val="BodyText"/>
      </w:pPr>
      <w:r>
        <w:t xml:space="preserve">The design I would build, subject to confirming it is lawful:</w:t>
      </w:r>
    </w:p>
    <w:p>
      <w:pPr>
        <w:pStyle w:val="Compact"/>
        <w:numPr>
          <w:ilvl w:val="0"/>
          <w:numId w:val="1006"/>
        </w:numPr>
      </w:pPr>
      <w:r>
        <w:t xml:space="preserve">Payment submits the POS Invoice and enqueues the transmission.</w:t>
      </w:r>
    </w:p>
    <w:p>
      <w:pPr>
        <w:pStyle w:val="Compact"/>
        <w:numPr>
          <w:ilvl w:val="0"/>
          <w:numId w:val="1006"/>
        </w:numPr>
      </w:pPr>
      <w:r>
        <w:t xml:space="preserve">Local signing (VSCU, ours or the middleware’s) yields the control data</w:t>
      </w:r>
      <w:r>
        <w:t xml:space="preserve"> </w:t>
      </w:r>
      <w:r>
        <w:t xml:space="preserve">immediately, so the receipt prints complete, exactly as it does now.</w:t>
      </w:r>
    </w:p>
    <w:p>
      <w:pPr>
        <w:pStyle w:val="Compact"/>
        <w:numPr>
          <w:ilvl w:val="0"/>
          <w:numId w:val="1006"/>
        </w:numPr>
      </w:pPr>
      <w:r>
        <w:t xml:space="preserve">If the control data cannot be obtained at all, the receipt prints marked as</w:t>
      </w:r>
      <w:r>
        <w:t xml:space="preserve"> </w:t>
      </w:r>
      <w:r>
        <w:t xml:space="preserve">pending, the invoice stays queued, and the compliant copy is available from</w:t>
      </w:r>
      <w:r>
        <w:t xml:space="preserve"> </w:t>
      </w:r>
      <w:r>
        <w:t xml:space="preserve">the invoice as soon as KRA acknowledges it. The till never blocks on KRA.</w:t>
      </w:r>
    </w:p>
    <w:p>
      <w:pPr>
        <w:pStyle w:val="Compact"/>
        <w:numPr>
          <w:ilvl w:val="0"/>
          <w:numId w:val="1006"/>
        </w:numPr>
      </w:pPr>
      <w:r>
        <w:t xml:space="preserve">A background job drains the queue and a report shows anything unacknowledged,</w:t>
      </w:r>
      <w:r>
        <w:t xml:space="preserve"> </w:t>
      </w:r>
      <w:r>
        <w:t xml:space="preserve">so nothing silently fails to reach KRA.</w:t>
      </w:r>
    </w:p>
    <w:p>
      <w:pPr>
        <w:pStyle w:val="FirstParagraph"/>
      </w:pPr>
      <w:r>
        <w:rPr>
          <w:b/>
          <w:bCs/>
        </w:rPr>
        <w:t xml:space="preserve">Step 3 needs a definitive answer from KRA or the integrator before it is</w:t>
      </w:r>
      <w:r>
        <w:rPr>
          <w:b/>
          <w:bCs/>
        </w:rPr>
        <w:t xml:space="preserve"> </w:t>
      </w:r>
      <w:r>
        <w:rPr>
          <w:b/>
          <w:bCs/>
        </w:rPr>
        <w:t xml:space="preserve">built.</w:t>
      </w:r>
      <w:r>
        <w:t xml:space="preserve"> </w:t>
      </w:r>
      <w:r>
        <w:t xml:space="preserve">If a receipt may never be handed over without a control number, then</w:t>
      </w:r>
      <w:r>
        <w:t xml:space="preserve"> </w:t>
      </w:r>
      <w:r>
        <w:t xml:space="preserve">the fallback is not</w:t>
      </w:r>
      <w:r>
        <w:t xml:space="preserve"> </w:t>
      </w:r>
      <w:r>
        <w:t xml:space="preserve">“</w:t>
      </w:r>
      <w:r>
        <w:t xml:space="preserve">print pending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“</w:t>
      </w:r>
      <w:r>
        <w:t xml:space="preserve">the till cannot complete the sale</w:t>
      </w:r>
      <w:r>
        <w:t xml:space="preserve">”</w:t>
      </w:r>
      <w:r>
        <w:t xml:space="preserve">, and</w:t>
      </w:r>
      <w:r>
        <w:t xml:space="preserve"> </w:t>
      </w:r>
      <w:r>
        <w:t xml:space="preserve">the offline story changes completely. Do not guess this one.</w:t>
      </w:r>
    </w:p>
    <w:bookmarkEnd w:id="28"/>
    <w:bookmarkStart w:id="29" w:name="item-registration-meets-the-menu"/>
    <w:p>
      <w:pPr>
        <w:pStyle w:val="Heading3"/>
      </w:pPr>
      <w:r>
        <w:t xml:space="preserve">Item registration meets the menu</w:t>
      </w:r>
    </w:p>
    <w:p>
      <w:pPr>
        <w:pStyle w:val="FirstParagraph"/>
      </w:pPr>
      <w:r>
        <w:t xml:space="preserve">We already learned that a dish must be non-stock to be sellable (finding 30), and</w:t>
      </w:r>
      <w:r>
        <w:t xml:space="preserve"> </w:t>
      </w:r>
      <w:r>
        <w:t xml:space="preserve">that rule is enforced when a dish joins the menu. eTIMS adds a second condition</w:t>
      </w:r>
      <w:r>
        <w:t xml:space="preserve"> </w:t>
      </w:r>
      <w:r>
        <w:t xml:space="preserve">at the same seam: a dish must be</w:t>
      </w:r>
      <w:r>
        <w:t xml:space="preserve"> </w:t>
      </w:r>
      <w:r>
        <w:rPr>
          <w:b/>
          <w:bCs/>
        </w:rPr>
        <w:t xml:space="preserve">classified and registered with KRA</w:t>
      </w:r>
      <w:r>
        <w:t xml:space="preserve"> </w:t>
      </w:r>
      <w:r>
        <w:t xml:space="preserve">before</w:t>
      </w:r>
      <w:r>
        <w:t xml:space="preserve"> </w:t>
      </w:r>
      <w:r>
        <w:t xml:space="preserve">it can be sold. That belongs in the same hook,</w:t>
      </w:r>
      <w:r>
        <w:t xml:space="preserve"> </w:t>
      </w:r>
      <w:r>
        <w:rPr>
          <w:rStyle w:val="VerbatimChar"/>
        </w:rPr>
        <w:t xml:space="preserve">house.menu_sells_without_stock</w:t>
      </w:r>
      <w:r>
        <w:t xml:space="preserve">’s</w:t>
      </w:r>
      <w:r>
        <w:t xml:space="preserve"> </w:t>
      </w:r>
      <w:r>
        <w:t xml:space="preserve">neighbour, with the Menu Management editor showing registration state on the</w:t>
      </w:r>
      <w:r>
        <w:t xml:space="preserve"> </w:t>
      </w:r>
      <w:r>
        <w:t xml:space="preserve">card and refusing to publish an unclassified dish. All 179 items on the menu today need a</w:t>
      </w:r>
      <w:r>
        <w:t xml:space="preserve"> </w:t>
      </w:r>
      <w:r>
        <w:t xml:space="preserve">classification pass and a UOM mapping, which is the client’s data task, like</w:t>
      </w:r>
      <w:r>
        <w:t xml:space="preserve"> </w:t>
      </w:r>
      <w:r>
        <w:t xml:space="preserve">recipes — and after registration it is the longest pole in the project.</w:t>
      </w:r>
    </w:p>
    <w:bookmarkEnd w:id="29"/>
    <w:bookmarkStart w:id="30" w:name="the-pieces-that-need-rework"/>
    <w:p>
      <w:pPr>
        <w:pStyle w:val="Heading3"/>
      </w:pPr>
      <w:r>
        <w:t xml:space="preserve">The pieces that need rework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eTIMS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Etham Receipt</w:t>
            </w:r>
            <w:r>
              <w:t xml:space="preserve"> </w:t>
            </w:r>
            <w:r>
              <w:t xml:space="preserve">print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mm thermal, payment rows with M-Pesa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seller PIN, buyer PIN, per-line tax rate, tax summary, control number and a QR code that must render in the hidden-frame print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Cancelling a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the POS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also transmit a credit note against the original control number; the admin guide’s wording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Actual tax row booked to Delivery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probably a classified line item, since a charge row has no item code or tax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 M-Pesa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payment rows, one per confirmation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to eTIMS payment types; verify several rows of one mode are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Walk-in Guest</w:t>
            </w:r>
            <w:r>
              <w:t xml:space="preserve"> </w:t>
            </w:r>
            <w:r>
              <w:t xml:space="preserve">default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PIN, fine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guests who want to claim input tax need their PIN captured at the till</w:t>
            </w:r>
          </w:p>
        </w:tc>
      </w:tr>
    </w:tbl>
    <w:bookmarkEnd w:id="30"/>
    <w:bookmarkStart w:id="31" w:name="the-constraint-on-multi-tenant"/>
    <w:p>
      <w:pPr>
        <w:pStyle w:val="Heading3"/>
      </w:pPr>
      <w:r>
        <w:t xml:space="preserve">The constraint on multi-tenant</w:t>
      </w:r>
    </w:p>
    <w:p>
      <w:pPr>
        <w:pStyle w:val="FirstParagraph"/>
      </w:pPr>
      <w:r>
        <w:t xml:space="preserve">eTIMS credentials are per taxpayer: PIN, branch ID and device serial produce one</w:t>
      </w:r>
      <w:r>
        <w:t xml:space="preserve"> </w:t>
      </w:r>
      <w:r>
        <w:t xml:space="preserve">communication key, issued once. In a multi-tenant deployment these must live</w:t>
      </w:r>
      <w:r>
        <w:t xml:space="preserve"> </w:t>
      </w:r>
      <w:r>
        <w:rPr>
          <w:b/>
          <w:bCs/>
        </w:rPr>
        <w:t xml:space="preserve">per site or per company and never in a shared configuration</w:t>
      </w:r>
      <w:r>
        <w:t xml:space="preserve">. Getting this</w:t>
      </w:r>
      <w:r>
        <w:t xml:space="preserve"> </w:t>
      </w:r>
      <w:r>
        <w:t xml:space="preserve">wrong would transmit one restaurant’s sales under another’s PIN, which is the</w:t>
      </w:r>
      <w:r>
        <w:t xml:space="preserve"> </w:t>
      </w:r>
      <w:r>
        <w:t xml:space="preserve">worst failure mode in this document.</w:t>
      </w:r>
    </w:p>
    <w:p>
      <w:pPr>
        <w:pStyle w:val="BodyText"/>
      </w:pPr>
      <w:r>
        <w:t xml:space="preserve">This is a good reason to do the multi-tenant work first, as planned: it is much</w:t>
      </w:r>
      <w:r>
        <w:t xml:space="preserve"> </w:t>
      </w:r>
      <w:r>
        <w:t xml:space="preserve">easier to design per-tenant credential isolation into a multi-tenant deployment</w:t>
      </w:r>
      <w:r>
        <w:t xml:space="preserve"> </w:t>
      </w:r>
      <w:r>
        <w:t xml:space="preserve">than to retrofit it after eTIMS assumes a single taxpayer. See</w:t>
      </w:r>
      <w:r>
        <w:t xml:space="preserve"> </w:t>
      </w:r>
      <w:r>
        <w:rPr>
          <w:rStyle w:val="VerbatimChar"/>
        </w:rPr>
        <w:t xml:space="preserve">Multi-Tenant-Plan.md</w:t>
      </w:r>
      <w:r>
        <w:t xml:space="preserve">,</w:t>
      </w:r>
      <w:r>
        <w:t xml:space="preserve"> </w:t>
      </w:r>
      <w:r>
        <w:t xml:space="preserve">whose §3 audit exists partly to catch exactly this class of shared configuration.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hasing"/>
    <w:p>
      <w:pPr>
        <w:pStyle w:val="Heading2"/>
      </w:pPr>
      <w:r>
        <w:t xml:space="preserve">5. Phasing</w:t>
      </w:r>
    </w:p>
    <w:p>
      <w:pPr>
        <w:pStyle w:val="FirstParagraph"/>
      </w:pPr>
      <w:r>
        <w:rPr>
          <w:b/>
          <w:bCs/>
        </w:rPr>
        <w:t xml:space="preserve">Phase 0. Tax position.</w:t>
      </w:r>
      <w:r>
        <w:t xml:space="preserve"> </w:t>
      </w:r>
      <w:r>
        <w:t xml:space="preserve">The three questions in §0, answered by the client and</w:t>
      </w:r>
      <w:r>
        <w:t xml:space="preserve"> </w:t>
      </w:r>
      <w:r>
        <w:t xml:space="preserve">their tax adviser. Output: PIN on the company, a decision on inclusive versus</w:t>
      </w:r>
      <w:r>
        <w:t xml:space="preserve"> </w:t>
      </w:r>
      <w:r>
        <w:t xml:space="preserve">exclusive pricing, and a per-item tax classification list. No code.</w:t>
      </w:r>
    </w:p>
    <w:p>
      <w:pPr>
        <w:pStyle w:val="BodyText"/>
      </w:pPr>
      <w:r>
        <w:rPr>
          <w:b/>
          <w:bCs/>
        </w:rPr>
        <w:t xml:space="preserve">Phase 0b. Registration, which is the real blocker.</w:t>
      </w:r>
      <w:r>
        <w:t xml:space="preserve"> </w:t>
      </w:r>
      <w:r>
        <w:t xml:space="preserve">Before a line of code</w:t>
      </w:r>
      <w:r>
        <w:t xml:space="preserve"> </w:t>
      </w:r>
      <w:r>
        <w:t xml:space="preserve">matters: Etham (or we on their behalf) registers for KRA and VSCU, which the</w:t>
      </w:r>
      <w:r>
        <w:t xml:space="preserve"> </w:t>
      </w:r>
      <w:r>
        <w:t xml:space="preserve">vendor runs —</w:t>
      </w:r>
      <w:r>
        <w:t xml:space="preserve"> </w:t>
      </w:r>
      <w:r>
        <w:rPr>
          <w:rStyle w:val="VerbatimChar"/>
        </w:rPr>
        <w:t xml:space="preserve">etims@savannahinformatics.com</w:t>
      </w:r>
      <w:r>
        <w:t xml:space="preserve">; a Slade 360 Advantage account and</w:t>
      </w:r>
      <w:r>
        <w:t xml:space="preserve"> </w:t>
      </w:r>
      <w:r>
        <w:t xml:space="preserve">credentials exist; and the company PIN, branch ID and device details are recorded</w:t>
      </w:r>
      <w:r>
        <w:t xml:space="preserve"> </w:t>
      </w:r>
      <w:r>
        <w:t xml:space="preserve">against the ERPNext company. Treat this as</w:t>
      </w:r>
      <w:r>
        <w:t xml:space="preserve"> </w:t>
      </w:r>
      <w:r>
        <w:rPr>
          <w:b/>
          <w:bCs/>
        </w:rPr>
        <w:t xml:space="preserve">lead time in weeks, not a sprint</w:t>
      </w:r>
      <w:r>
        <w:t xml:space="preserve">.</w:t>
      </w:r>
      <w:r>
        <w:t xml:space="preserve"> </w:t>
      </w:r>
      <w:r>
        <w:t xml:space="preserve">Nothing can be tested end to end until sandbox credentials exist, so this starts</w:t>
      </w:r>
      <w:r>
        <w:t xml:space="preserve"> </w:t>
      </w:r>
      <w:r>
        <w:t xml:space="preserve">the day Phase 0 is answered.</w:t>
      </w:r>
    </w:p>
    <w:p>
      <w:pPr>
        <w:pStyle w:val="BodyText"/>
      </w:pPr>
      <w:r>
        <w:rPr>
          <w:b/>
          <w:bCs/>
        </w:rPr>
        <w:t xml:space="preserve">Phase 1. Sandbox spike.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etims-sbx.kra.go.ke</w:t>
      </w:r>
      <w:r>
        <w:t xml:space="preserve"> </w:t>
      </w:r>
      <w:r>
        <w:t xml:space="preserve">or the integrator’s</w:t>
      </w:r>
      <w:r>
        <w:t xml:space="preserve"> </w:t>
      </w:r>
      <w:r>
        <w:t xml:space="preserve">sandbox. Prove exactly one thing end to end: a POS Invoice from the till is</w:t>
      </w:r>
      <w:r>
        <w:t xml:space="preserve"> </w:t>
      </w:r>
      <w:r>
        <w:t xml:space="preserve">transmitted, comes back with a control number and QR, and the thermal receipt</w:t>
      </w:r>
      <w:r>
        <w:t xml:space="preserve"> </w:t>
      </w:r>
      <w:r>
        <w:t xml:space="preserve">prints carrying both. This also settles the version-fit question in §3. Output:</w:t>
      </w:r>
      <w:r>
        <w:t xml:space="preserve"> </w:t>
      </w:r>
      <w:r>
        <w:t xml:space="preserve">a go or no-go on the existing app.</w:t>
      </w:r>
    </w:p>
    <w:p>
      <w:pPr>
        <w:pStyle w:val="BodyText"/>
      </w:pPr>
      <w:r>
        <w:rPr>
          <w:b/>
          <w:bCs/>
        </w:rPr>
        <w:t xml:space="preserve">Phase 2. Items.</w:t>
      </w:r>
      <w:r>
        <w:t xml:space="preserve"> </w:t>
      </w:r>
      <w:r>
        <w:t xml:space="preserve">Classification codes on all 179 items, registration calls,</w:t>
      </w:r>
      <w:r>
        <w:t xml:space="preserve"> </w:t>
      </w:r>
      <w:r>
        <w:t xml:space="preserve">registration state visible in Menu Management, and a dish that is not registered</w:t>
      </w:r>
      <w:r>
        <w:t xml:space="preserve"> </w:t>
      </w:r>
      <w:r>
        <w:t xml:space="preserve">cannot be published to the menu.</w:t>
      </w:r>
    </w:p>
    <w:p>
      <w:pPr>
        <w:pStyle w:val="BodyText"/>
      </w:pPr>
      <w:r>
        <w:rPr>
          <w:b/>
          <w:bCs/>
        </w:rPr>
        <w:t xml:space="preserve">Phase 3. The till path.</w:t>
      </w:r>
      <w:r>
        <w:t xml:space="preserve"> </w:t>
      </w:r>
      <w:r>
        <w:t xml:space="preserve">The queue, the offline rule from §4 (as confirmed,</w:t>
      </w:r>
      <w:r>
        <w:t xml:space="preserve"> </w:t>
      </w:r>
      <w:r>
        <w:t xml:space="preserve">not as assumed), credit notes on cancel, the delivery fee rework, buyer PIN</w:t>
      </w:r>
      <w:r>
        <w:t xml:space="preserve"> </w:t>
      </w:r>
      <w:r>
        <w:t xml:space="preserve">capture, and the unacknowledged-invoice report.</w:t>
      </w:r>
    </w:p>
    <w:p>
      <w:pPr>
        <w:pStyle w:val="BodyText"/>
      </w:pPr>
      <w:r>
        <w:rPr>
          <w:b/>
          <w:bCs/>
        </w:rPr>
        <w:t xml:space="preserve">Phase 3b. Ship it the way everything else ships.</w:t>
      </w:r>
      <w:r>
        <w:t xml:space="preserve"> </w:t>
      </w:r>
      <w:r>
        <w:t xml:space="preserve">Add the app to</w:t>
      </w:r>
      <w:r>
        <w:t xml:space="preserve"> </w:t>
      </w:r>
      <w:r>
        <w:rPr>
          <w:rStyle w:val="VerbatimChar"/>
        </w:rPr>
        <w:t xml:space="preserve">apps-restaurant.json</w:t>
      </w:r>
      <w:r>
        <w:t xml:space="preserve"> </w:t>
      </w:r>
      <w:r>
        <w:rPr>
          <w:b/>
          <w:bCs/>
        </w:rPr>
        <w:t xml:space="preserve">pinned to a tag</w:t>
      </w:r>
      <w:r>
        <w:t xml:space="preserve">, record it in</w:t>
      </w:r>
      <w:r>
        <w:t xml:space="preserve"> </w:t>
      </w:r>
      <w:r>
        <w:rPr>
          <w:rStyle w:val="VerbatimChar"/>
        </w:rPr>
        <w:t xml:space="preserve">restaurant/PINNED_APPS</w:t>
      </w:r>
      <w:r>
        <w:t xml:space="preserve">,</w:t>
      </w:r>
      <w:r>
        <w:t xml:space="preserve"> </w:t>
      </w:r>
      <w:r>
        <w:t xml:space="preserve">and rebuild the base with</w:t>
      </w:r>
      <w:r>
        <w:t xml:space="preserve"> </w:t>
      </w:r>
      <w:r>
        <w:rPr>
          <w:rStyle w:val="VerbatimChar"/>
        </w:rPr>
        <w:t xml:space="preserve">CACHE_BUST</w:t>
      </w:r>
      <w:r>
        <w:t xml:space="preserve"> </w:t>
      </w:r>
      <w:r>
        <w:t xml:space="preserve">— editing that JSON alone does not bust the</w:t>
      </w:r>
      <w:r>
        <w:t xml:space="preserve"> </w:t>
      </w:r>
      <w:r>
        <w:t xml:space="preserve">build cache (iron rule 8). Then check the patch layer for collisions: we already</w:t>
      </w:r>
      <w:r>
        <w:t xml:space="preserve"> </w:t>
      </w:r>
      <w:r>
        <w:t xml:space="preserve">patch</w:t>
      </w:r>
      <w:r>
        <w:t xml:space="preserve"> </w:t>
      </w:r>
      <w:r>
        <w:rPr>
          <w:rStyle w:val="VerbatimChar"/>
        </w:rPr>
        <w:t xml:space="preserve">table_order.py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pay-form-class.js</w:t>
      </w:r>
      <w:r>
        <w:t xml:space="preserve"> </w:t>
      </w:r>
      <w:r>
        <w:t xml:space="preserve">and POS Invoice custom fields, all of</w:t>
      </w:r>
      <w:r>
        <w:t xml:space="preserve"> </w:t>
      </w:r>
      <w:r>
        <w:t xml:space="preserve">which this app also touches. Deploy behind the usual gate: build locally, verify</w:t>
      </w:r>
      <w:r>
        <w:t xml:space="preserve"> </w:t>
      </w:r>
      <w:r>
        <w:t xml:space="preserve">inside the image, ship, migrate.</w:t>
      </w:r>
    </w:p>
    <w:p>
      <w:pPr>
        <w:pStyle w:val="BodyText"/>
      </w:pPr>
      <w:r>
        <w:rPr>
          <w:b/>
          <w:bCs/>
        </w:rPr>
        <w:t xml:space="preserve">Phase 4. Certification.</w:t>
      </w:r>
      <w:r>
        <w:t xml:space="preserve"> </w:t>
      </w:r>
      <w:r>
        <w:t xml:space="preserve">Whatever the chosen path demands: the integrator’s</w:t>
      </w:r>
      <w:r>
        <w:t xml:space="preserve"> </w:t>
      </w:r>
      <w:r>
        <w:t xml:space="preserve">onboarding, or KRA vetting if we self-integrate. Lead time is outside our</w:t>
      </w:r>
      <w:r>
        <w:t xml:space="preserve"> </w:t>
      </w:r>
      <w:r>
        <w:t xml:space="preserve">control, so it starts as early as the path allows.</w:t>
      </w:r>
    </w:p>
    <w:p>
      <w:pPr>
        <w:pStyle w:val="BodyText"/>
      </w:pPr>
      <w:r>
        <w:rPr>
          <w:b/>
          <w:bCs/>
        </w:rPr>
        <w:t xml:space="preserve">Phase 5. Pilot then spread.</w:t>
      </w:r>
      <w:r>
        <w:t xml:space="preserve"> </w:t>
      </w:r>
      <w:r>
        <w:t xml:space="preserve">One branch live, watched for a full week of</w:t>
      </w:r>
      <w:r>
        <w:t xml:space="preserve"> </w:t>
      </w:r>
      <w:r>
        <w:t xml:space="preserve">service against the M-Pesa and closing figures, before any second site.</w:t>
      </w:r>
    </w:p>
    <w:p>
      <w:r>
        <w:pict>
          <v:rect style="width:0;height:1.5pt" o:hralign="center" o:hrstd="t" o:hr="t"/>
        </w:pict>
      </w:r>
    </w:p>
    <w:bookmarkEnd w:id="33"/>
    <w:bookmarkStart w:id="34" w:name="testing-which-we-do-not-cut"/>
    <w:p>
      <w:pPr>
        <w:pStyle w:val="Heading2"/>
      </w:pPr>
      <w:r>
        <w:t xml:space="preserve">6. Testing, which we do not cut</w:t>
      </w:r>
    </w:p>
    <w:p>
      <w:pPr>
        <w:pStyle w:val="FirstParagraph"/>
      </w:pPr>
      <w:r>
        <w:t xml:space="preserve">The deep suites are what keep bugs off the live floor, and eTIMS gets the same</w:t>
      </w:r>
      <w:r>
        <w:t xml:space="preserve"> </w:t>
      </w:r>
      <w:r>
        <w:t xml:space="preserve">treatment. Against the sandbox only, never production eTIMS:</w:t>
      </w:r>
    </w:p>
    <w:p>
      <w:pPr>
        <w:pStyle w:val="Compact"/>
        <w:numPr>
          <w:ilvl w:val="0"/>
          <w:numId w:val="1007"/>
        </w:numPr>
      </w:pPr>
      <w:r>
        <w:t xml:space="preserve">a paid POS Invoice comes back with a control number, and the receipt carries it</w:t>
      </w:r>
    </w:p>
    <w:p>
      <w:pPr>
        <w:pStyle w:val="Compact"/>
        <w:numPr>
          <w:ilvl w:val="0"/>
          <w:numId w:val="1007"/>
        </w:numPr>
      </w:pPr>
      <w:r>
        <w:t xml:space="preserve">an unregistered dish cannot be published to the menu, and cannot be sold</w:t>
      </w:r>
    </w:p>
    <w:p>
      <w:pPr>
        <w:pStyle w:val="Compact"/>
        <w:numPr>
          <w:ilvl w:val="0"/>
          <w:numId w:val="1007"/>
        </w:numPr>
      </w:pPr>
      <w:r>
        <w:t xml:space="preserve">cancelling a sale transmits a credit note referencing the original</w:t>
      </w:r>
    </w:p>
    <w:p>
      <w:pPr>
        <w:pStyle w:val="Compact"/>
        <w:numPr>
          <w:ilvl w:val="0"/>
          <w:numId w:val="1007"/>
        </w:numPr>
      </w:pPr>
      <w:r>
        <w:t xml:space="preserve">an invoice transmitted while the link is down is queued, and drains later, and</w:t>
      </w:r>
      <w:r>
        <w:t xml:space="preserve"> </w:t>
      </w:r>
      <w:r>
        <w:t xml:space="preserve">the unacknowledged report shows it until it does</w:t>
      </w:r>
    </w:p>
    <w:p>
      <w:pPr>
        <w:pStyle w:val="Compact"/>
        <w:numPr>
          <w:ilvl w:val="0"/>
          <w:numId w:val="1007"/>
        </w:numPr>
      </w:pPr>
      <w:r>
        <w:t xml:space="preserve">a bill split across several M-Pesa transactions reports every payment</w:t>
      </w:r>
    </w:p>
    <w:p>
      <w:pPr>
        <w:pStyle w:val="Compact"/>
        <w:numPr>
          <w:ilvl w:val="0"/>
          <w:numId w:val="1007"/>
        </w:numPr>
      </w:pPr>
      <w:r>
        <w:t xml:space="preserve">a delivery with its fee reports the fee correctly classified</w:t>
      </w:r>
    </w:p>
    <w:p>
      <w:pPr>
        <w:pStyle w:val="Compact"/>
        <w:numPr>
          <w:ilvl w:val="0"/>
          <w:numId w:val="1007"/>
        </w:numPr>
      </w:pPr>
      <w:r>
        <w:t xml:space="preserve">per-tenant credentials: two companies on one deployment never borrow each</w:t>
      </w:r>
      <w:r>
        <w:t xml:space="preserve"> </w:t>
      </w:r>
      <w:r>
        <w:t xml:space="preserve">other’s PIN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network blackholed mid-service</w:t>
      </w:r>
      <w:r>
        <w:t xml:space="preserve">: a sale still completes, and submission</w:t>
      </w:r>
      <w:r>
        <w:t xml:space="preserve"> </w:t>
      </w:r>
      <w:r>
        <w:t xml:space="preserve">never blocks</w:t>
      </w:r>
      <w:r>
        <w:t xml:space="preserve"> </w:t>
      </w:r>
      <w:r>
        <w:rPr>
          <w:rStyle w:val="VerbatimChar"/>
        </w:rPr>
        <w:t xml:space="preserve">POS Invoice.submit()</w:t>
      </w:r>
    </w:p>
    <w:p>
      <w:pPr>
        <w:pStyle w:val="FirstParagraph"/>
      </w:pPr>
      <w:r>
        <w:t xml:space="preserve">The last two are worth writing before the code they guard, and the blackhole test</w:t>
      </w:r>
      <w:r>
        <w:t xml:space="preserve"> </w:t>
      </w:r>
      <w:r>
        <w:t xml:space="preserve">runs before this goes anywhere near a Friday service.</w:t>
      </w:r>
    </w:p>
    <w:p>
      <w:r>
        <w:pict>
          <v:rect style="width:0;height:1.5pt" o:hralign="center" o:hrstd="t" o:hr="t"/>
        </w:pict>
      </w:r>
    </w:p>
    <w:bookmarkEnd w:id="34"/>
    <w:bookmarkStart w:id="35" w:name="risks"/>
    <w:p>
      <w:pPr>
        <w:pStyle w:val="Heading2"/>
      </w:pPr>
      <w:r>
        <w:t xml:space="preserve">7. Risks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KRA or middleware downtime stops sales</w:t>
      </w:r>
      <w:r>
        <w:t xml:space="preserve">, if the lawful answer to §4 step 3</w:t>
      </w:r>
      <w:r>
        <w:t xml:space="preserve"> </w:t>
      </w:r>
      <w:r>
        <w:t xml:space="preserve">is that no receipt may be issued without a control number. Mitigation is a</w:t>
      </w:r>
      <w:r>
        <w:t xml:space="preserve"> </w:t>
      </w:r>
      <w:r>
        <w:t xml:space="preserve">documented manual fallback agreed with the client in advance, not code.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Certification lead time</w:t>
      </w:r>
      <w:r>
        <w:t xml:space="preserve"> </w:t>
      </w:r>
      <w:r>
        <w:t xml:space="preserve">is not ours to schedule. The middleware path exists</w:t>
      </w:r>
      <w:r>
        <w:t xml:space="preserve"> </w:t>
      </w:r>
      <w:r>
        <w:t xml:space="preserve">precisely to move this off the critical path.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maintained app is a dependency on one vendor</w:t>
      </w:r>
      <w:r>
        <w:t xml:space="preserve">, both for code and for the</w:t>
      </w:r>
      <w:r>
        <w:t xml:space="preserve"> </w:t>
      </w:r>
      <w:r>
        <w:t xml:space="preserve">middleware itself. The fallback in §3 is the answer, and it should stay warm.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Menu items created during service.</w:t>
      </w:r>
      <w:r>
        <w:t xml:space="preserve"> </w:t>
      </w:r>
      <w:r>
        <w:t xml:space="preserve">Our editor can add a dish mid-shift;</w:t>
      </w:r>
      <w:r>
        <w:t xml:space="preserve"> </w:t>
      </w:r>
      <w:r>
        <w:t xml:space="preserve">under eTIMS such a dish is unsellable until registered. The seam must fail</w:t>
      </w:r>
      <w:r>
        <w:t xml:space="preserve"> </w:t>
      </w:r>
      <w:r>
        <w:t xml:space="preserve">loudly at publish time, not quietly at payment.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price change is a client-facing event.</w:t>
      </w:r>
      <w:r>
        <w:t xml:space="preserve"> </w:t>
      </w:r>
      <w:r>
        <w:t xml:space="preserve">If VAT becomes exclusive, every</w:t>
      </w:r>
      <w:r>
        <w:t xml:space="preserve"> </w:t>
      </w:r>
      <w:r>
        <w:t xml:space="preserve">menu price moves. That is a business decision needing lead time, printed menus</w:t>
      </w:r>
      <w:r>
        <w:t xml:space="preserve"> </w:t>
      </w:r>
      <w:r>
        <w:t xml:space="preserve">and staff briefing.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Wrong classification transmitted at scale</w:t>
      </w:r>
      <w:r>
        <w:t xml:space="preserve"> </w:t>
      </w:r>
      <w:r>
        <w:t xml:space="preserve">is worse than late integration.</w:t>
      </w:r>
      <w:r>
        <w:t xml:space="preserve"> </w:t>
      </w:r>
      <w:r>
        <w:t xml:space="preserve">This is the reason for Phase 0.</w:t>
      </w:r>
    </w:p>
    <w:p>
      <w:r>
        <w:pict>
          <v:rect style="width:0;height:1.5pt" o:hralign="center" o:hrstd="t" o:hr="t"/>
        </w:pict>
      </w:r>
    </w:p>
    <w:bookmarkEnd w:id="35"/>
    <w:bookmarkStart w:id="36" w:name="open-questions"/>
    <w:p>
      <w:pPr>
        <w:pStyle w:val="Heading2"/>
      </w:pPr>
      <w:r>
        <w:t xml:space="preserve">8. Open questions</w:t>
      </w:r>
    </w:p>
    <w:p>
      <w:pPr>
        <w:pStyle w:val="FirstParagraph"/>
      </w:pPr>
      <w:r>
        <w:t xml:space="preserve">Nothing in phases 1 onward should start until these are answered.</w:t>
      </w:r>
    </w:p>
    <w:p>
      <w:pPr>
        <w:pStyle w:val="Compact"/>
        <w:numPr>
          <w:ilvl w:val="0"/>
          <w:numId w:val="1009"/>
        </w:numPr>
      </w:pPr>
      <w:r>
        <w:t xml:space="preserve">Is Etham VAT registered, with what PIN, effective when? — client</w:t>
      </w:r>
    </w:p>
    <w:p>
      <w:pPr>
        <w:pStyle w:val="Compact"/>
        <w:numPr>
          <w:ilvl w:val="0"/>
          <w:numId w:val="1009"/>
        </w:numPr>
      </w:pPr>
      <w:r>
        <w:t xml:space="preserve">Inclusive or exclusive pricing, and who absorbs the 16%? — client</w:t>
      </w:r>
    </w:p>
    <w:p>
      <w:pPr>
        <w:pStyle w:val="Compact"/>
        <w:numPr>
          <w:ilvl w:val="0"/>
          <w:numId w:val="1009"/>
        </w:numPr>
      </w:pPr>
      <w:r>
        <w:t xml:space="preserve">Tax classification per menu item. — client’s tax adviser, with our export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May a receipt be handed to a customer before KRA returns a control number,</w:t>
      </w:r>
      <w:r>
        <w:rPr>
          <w:b/>
          <w:bCs/>
        </w:rPr>
        <w:t xml:space="preserve"> </w:t>
      </w:r>
      <w:r>
        <w:rPr>
          <w:b/>
          <w:bCs/>
        </w:rPr>
        <w:t xml:space="preserve">if the compliant invoice follows?</w:t>
      </w:r>
      <w:r>
        <w:t xml:space="preserve"> </w:t>
      </w:r>
      <w:r>
        <w:t xml:space="preserve">— KRA or the integrator, in writing</w:t>
      </w:r>
    </w:p>
    <w:p>
      <w:pPr>
        <w:pStyle w:val="Compact"/>
        <w:numPr>
          <w:ilvl w:val="0"/>
          <w:numId w:val="1009"/>
        </w:numPr>
      </w:pPr>
      <w:r>
        <w:t xml:space="preserve">Middleware pricing per site per month, and its uptime commitment. — integrator</w:t>
      </w:r>
    </w:p>
    <w:p>
      <w:pPr>
        <w:pStyle w:val="Compact"/>
        <w:numPr>
          <w:ilvl w:val="0"/>
          <w:numId w:val="1009"/>
        </w:numPr>
      </w:pPr>
      <w:r>
        <w:t xml:space="preserve">Does the chosen app support POS Invoice submission and credit notes on</w:t>
      </w:r>
      <w:r>
        <w:t xml:space="preserve"> </w:t>
      </w:r>
      <w:r>
        <w:t xml:space="preserve">frappe 16.31 / ERPNext 16.32? — our Phase 1 spike</w:t>
      </w:r>
    </w:p>
    <w:p>
      <w:pPr>
        <w:pStyle w:val="Compact"/>
        <w:numPr>
          <w:ilvl w:val="0"/>
          <w:numId w:val="1009"/>
        </w:numPr>
      </w:pPr>
      <w:r>
        <w:t xml:space="preserve">Branch and device identity for a multi-site future: one PIN with several</w:t>
      </w:r>
      <w:r>
        <w:t xml:space="preserve"> </w:t>
      </w:r>
      <w:r>
        <w:t xml:space="preserve">branch IDs, or separate taxpayers? — client, then KRA</w:t>
      </w:r>
    </w:p>
    <w:p>
      <w:pPr>
        <w:pStyle w:val="Compact"/>
        <w:numPr>
          <w:ilvl w:val="0"/>
          <w:numId w:val="1009"/>
        </w:numPr>
      </w:pPr>
      <w:r>
        <w:t xml:space="preserve">Who holds the communication key, and what is the recovery path if it is lost?</w:t>
      </w:r>
      <w:r>
        <w:t xml:space="preserve"> </w:t>
      </w:r>
      <w:r>
        <w:t xml:space="preserve">KRA issues it once. — client and integrator</w:t>
      </w:r>
    </w:p>
    <w:p>
      <w:r>
        <w:pict>
          <v:rect style="width:0;height:1.5pt" o:hralign="center" o:hrstd="t" o:hr="t"/>
        </w:pict>
      </w:r>
    </w:p>
    <w:bookmarkEnd w:id="36"/>
    <w:bookmarkStart w:id="37" w:name="honest-estimate"/>
    <w:p>
      <w:pPr>
        <w:pStyle w:val="Heading2"/>
      </w:pPr>
      <w:r>
        <w:t xml:space="preserve">9. Honest estimate</w:t>
      </w:r>
    </w:p>
    <w:p>
      <w:pPr>
        <w:pStyle w:val="FirstParagraph"/>
      </w:pPr>
      <w:r>
        <w:t xml:space="preserve">Integration and its tests: a few days of our work, once credentials exist.</w:t>
      </w:r>
      <w:r>
        <w:t xml:space="preserve"> </w:t>
      </w:r>
      <w:r>
        <w:t xml:space="preserve">Registration and the item classification pass: unknown, because both are driven</w:t>
      </w:r>
      <w:r>
        <w:t xml:space="preserve"> </w:t>
      </w:r>
      <w:r>
        <w:t xml:space="preserve">by KRA and by Etham rather than by us. The order of magnitude is weeks of waiting</w:t>
      </w:r>
      <w:r>
        <w:t xml:space="preserve"> </w:t>
      </w:r>
      <w:r>
        <w:t xml:space="preserve">around a few days of building, which is why Phase 0 and Phase 0b start long</w:t>
      </w:r>
      <w:r>
        <w:t xml:space="preserve"> </w:t>
      </w:r>
      <w:r>
        <w:t xml:space="preserve">before anything is coded.</w:t>
      </w:r>
    </w:p>
    <w:p>
      <w:r>
        <w:pict>
          <v:rect style="width:0;height:1.5pt" o:hralign="center" o:hrstd="t" o:hr="t"/>
        </w:pict>
      </w:r>
    </w:p>
    <w:bookmarkEnd w:id="37"/>
    <w:bookmarkStart w:id="46" w:name="sources"/>
    <w:p>
      <w:pPr>
        <w:pStyle w:val="Heading2"/>
      </w:pPr>
      <w:r>
        <w:t xml:space="preserve">Sources</w:t>
      </w:r>
    </w:p>
    <w:p>
      <w:pPr>
        <w:pStyle w:val="FirstParagraph"/>
      </w:pPr>
      <w:r>
        <w:t xml:space="preserve">Re-verify all of these before work starts; the rules have changed repeatedly.</w:t>
      </w:r>
    </w:p>
    <w:p>
      <w:pPr>
        <w:pStyle w:val="Compact"/>
        <w:numPr>
          <w:ilvl w:val="0"/>
          <w:numId w:val="1010"/>
        </w:numPr>
      </w:pPr>
      <w:r>
        <w:t xml:space="preserve">KRA, eTIMS system-to-system integration (OSCU and VSCU, sandbox, certification):</w:t>
      </w:r>
      <w:r>
        <w:t xml:space="preserve"> </w:t>
      </w:r>
      <w:hyperlink r:id="rId38">
        <w:r>
          <w:rPr>
            <w:rStyle w:val="Hyperlink"/>
          </w:rPr>
          <w:t xml:space="preserve">https://www.kra.go.ke/business/etims-electronic-tax-invoice-management-system/learn-about-etims/etims-system-to-system-integration</w:t>
        </w:r>
      </w:hyperlink>
    </w:p>
    <w:p>
      <w:pPr>
        <w:pStyle w:val="Compact"/>
        <w:numPr>
          <w:ilvl w:val="0"/>
          <w:numId w:val="1010"/>
        </w:numPr>
      </w:pPr>
      <w:r>
        <w:t xml:space="preserve">KRA, OSCU and VSCU step-by-step sign-up guide:</w:t>
      </w:r>
      <w:r>
        <w:t xml:space="preserve"> </w:t>
      </w:r>
      <w:hyperlink r:id="rId39">
        <w:r>
          <w:rPr>
            <w:rStyle w:val="Hyperlink"/>
          </w:rPr>
          <w:t xml:space="preserve">https://www.kra.go.ke/images/publications/OSCU_VSCU_Step-by-Step_Guide-on-how-to-sign-up.pdf</w:t>
        </w:r>
      </w:hyperlink>
    </w:p>
    <w:p>
      <w:pPr>
        <w:pStyle w:val="Compact"/>
        <w:numPr>
          <w:ilvl w:val="0"/>
          <w:numId w:val="1010"/>
        </w:numPr>
      </w:pPr>
      <w:r>
        <w:t xml:space="preserve">KRA eTIMS taxpayer portal:</w:t>
      </w:r>
      <w:r>
        <w:t xml:space="preserve"> </w:t>
      </w:r>
      <w:hyperlink r:id="rId40">
        <w:r>
          <w:rPr>
            <w:rStyle w:val="Hyperlink"/>
          </w:rPr>
          <w:t xml:space="preserve">https://etims.kra.go.ke/</w:t>
        </w:r>
      </w:hyperlink>
      <w:r>
        <w:t xml:space="preserve"> </w:t>
      </w:r>
      <w:r>
        <w:t xml:space="preserve">— sandbox at</w:t>
      </w:r>
      <w:r>
        <w:t xml:space="preserve"> </w:t>
      </w:r>
      <w:hyperlink r:id="rId41">
        <w:r>
          <w:rPr>
            <w:rStyle w:val="Hyperlink"/>
          </w:rPr>
          <w:t xml:space="preserve">https://etims-sbx.kra.go.ke/</w:t>
        </w:r>
      </w:hyperlink>
    </w:p>
    <w:p>
      <w:pPr>
        <w:pStyle w:val="Compact"/>
        <w:numPr>
          <w:ilvl w:val="0"/>
          <w:numId w:val="1010"/>
        </w:numPr>
      </w:pPr>
      <w:r>
        <w:t xml:space="preserve">Navari, ERPNext eTIMS over OSCU (no longer actively developed):</w:t>
      </w:r>
      <w:r>
        <w:t xml:space="preserve"> </w:t>
      </w:r>
      <w:hyperlink r:id="rId42">
        <w:r>
          <w:rPr>
            <w:rStyle w:val="Hyperlink"/>
          </w:rPr>
          <w:t xml:space="preserve">https://github.com/navariltd/kenya-compliance</w:t>
        </w:r>
      </w:hyperlink>
    </w:p>
    <w:p>
      <w:pPr>
        <w:pStyle w:val="Compact"/>
        <w:numPr>
          <w:ilvl w:val="0"/>
          <w:numId w:val="1010"/>
        </w:numPr>
      </w:pPr>
      <w:r>
        <w:t xml:space="preserve">Navari, ERPNext eTIMS over Slade360 / VSCU (active):</w:t>
      </w:r>
      <w:r>
        <w:t xml:space="preserve"> </w:t>
      </w:r>
      <w:hyperlink r:id="rId43">
        <w:r>
          <w:rPr>
            <w:rStyle w:val="Hyperlink"/>
          </w:rPr>
          <w:t xml:space="preserve">https://github.com/navariltd/kenya-compliance-via-slade</w:t>
        </w:r>
      </w:hyperlink>
    </w:p>
    <w:p>
      <w:pPr>
        <w:pStyle w:val="Compact"/>
        <w:numPr>
          <w:ilvl w:val="0"/>
          <w:numId w:val="1010"/>
        </w:numPr>
      </w:pPr>
      <w:r>
        <w:t xml:space="preserve">Invoice field and control-number requirements:</w:t>
      </w:r>
      <w:r>
        <w:t xml:space="preserve"> </w:t>
      </w:r>
      <w:hyperlink r:id="rId44">
        <w:r>
          <w:rPr>
            <w:rStyle w:val="Hyperlink"/>
          </w:rPr>
          <w:t xml:space="preserve">https://veirahq.com/blog/etims-invoice-requirements/</w:t>
        </w:r>
      </w:hyperlink>
    </w:p>
    <w:p>
      <w:pPr>
        <w:pStyle w:val="Compact"/>
        <w:numPr>
          <w:ilvl w:val="0"/>
          <w:numId w:val="1010"/>
        </w:numPr>
      </w:pPr>
      <w:r>
        <w:t xml:space="preserve">Regulations, thresholds and penalties:</w:t>
      </w:r>
      <w:r>
        <w:t xml:space="preserve"> </w:t>
      </w:r>
      <w:hyperlink r:id="rId45">
        <w:r>
          <w:rPr>
            <w:rStyle w:val="Hyperlink"/>
          </w:rPr>
          <w:t xml:space="preserve">https://www.amgadvocates.com/post/vat-registration-and-compliance-in-kenya-complete-guide-to-etims-registration-threshold-and-kra-s</w:t>
        </w:r>
      </w:hyperlink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https://etims-sbx.kra.go.ke/" TargetMode="External" /><Relationship Type="http://schemas.openxmlformats.org/officeDocument/2006/relationships/hyperlink" Id="rId40" Target="https://etims.kra.go.ke/" TargetMode="External" /><Relationship Type="http://schemas.openxmlformats.org/officeDocument/2006/relationships/hyperlink" Id="rId42" Target="https://github.com/navariltd/kenya-compliance" TargetMode="External" /><Relationship Type="http://schemas.openxmlformats.org/officeDocument/2006/relationships/hyperlink" Id="rId43" Target="https://github.com/navariltd/kenya-compliance-via-slade" TargetMode="External" /><Relationship Type="http://schemas.openxmlformats.org/officeDocument/2006/relationships/hyperlink" Id="rId44" Target="https://veirahq.com/blog/etims-invoice-requirements/" TargetMode="External" /><Relationship Type="http://schemas.openxmlformats.org/officeDocument/2006/relationships/hyperlink" Id="rId45" Target="https://www.amgadvocates.com/post/vat-registration-and-compliance-in-kenya-complete-guide-to-etims-registration-threshold-and-kra-s" TargetMode="External" /><Relationship Type="http://schemas.openxmlformats.org/officeDocument/2006/relationships/hyperlink" Id="rId38" Target="https://www.kra.go.ke/business/etims-electronic-tax-invoice-management-system/learn-about-etims/etims-system-to-system-integration" TargetMode="External" /><Relationship Type="http://schemas.openxmlformats.org/officeDocument/2006/relationships/hyperlink" Id="rId39" Target="https://www.kra.go.ke/images/publications/OSCU_VSCU_Step-by-Step_Guide-on-how-to-sign-up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etims-sbx.kra.go.ke/" TargetMode="External" /><Relationship Type="http://schemas.openxmlformats.org/officeDocument/2006/relationships/hyperlink" Id="rId40" Target="https://etims.kra.go.ke/" TargetMode="External" /><Relationship Type="http://schemas.openxmlformats.org/officeDocument/2006/relationships/hyperlink" Id="rId42" Target="https://github.com/navariltd/kenya-compliance" TargetMode="External" /><Relationship Type="http://schemas.openxmlformats.org/officeDocument/2006/relationships/hyperlink" Id="rId43" Target="https://github.com/navariltd/kenya-compliance-via-slade" TargetMode="External" /><Relationship Type="http://schemas.openxmlformats.org/officeDocument/2006/relationships/hyperlink" Id="rId44" Target="https://veirahq.com/blog/etims-invoice-requirements/" TargetMode="External" /><Relationship Type="http://schemas.openxmlformats.org/officeDocument/2006/relationships/hyperlink" Id="rId45" Target="https://www.amgadvocates.com/post/vat-registration-and-compliance-in-kenya-complete-guide-to-etims-registration-threshold-and-kra-s" TargetMode="External" /><Relationship Type="http://schemas.openxmlformats.org/officeDocument/2006/relationships/hyperlink" Id="rId38" Target="https://www.kra.go.ke/business/etims-electronic-tax-invoice-management-system/learn-about-etims/etims-system-to-system-integration" TargetMode="External" /><Relationship Type="http://schemas.openxmlformats.org/officeDocument/2006/relationships/hyperlink" Id="rId39" Target="https://www.kra.go.ke/images/publications/OSCU_VSCU_Step-by-Step_Guide-on-how-to-sign-up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2026-09-07T19:32:27Z</dcterms:created>
  <dcterms:modified xsi:type="dcterms:W3CDTF">2026-09-07T19:32:27Z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