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Research Quotes</w:t>
      </w:r>
    </w:p>
    <w:p>
      <w:pPr>
        <w:spacing w:after="300"/>
      </w:pPr>
      <w:r>
        <w:rPr>
          <w:color w:val="666666"/>
          <w:sz w:val="20"/>
          <w:szCs w:val="20"/>
        </w:rPr>
        <w:t xml:space="preserve">Exported 2026-02-14 — 1 quotes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Quote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Context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Score</w:t>
            </w:r>
          </w:p>
        </w:tc>
      </w:tr>
      <w:tr>
        <w:tc>
          <w:tcPr>
            <w:tcW w:type="pct" w:w="40%"/>
          </w:tcPr>
          <w:p>
            <w:r>
              <w:t xml:space="preserve">Fatima (anonymised), a participant with post-traumatic stress, was initially unable to attend group sessions. Her accompagnatrice arranged one-to-one sessions for the first 2 months, coordinated with </w:t>
            </w:r>
          </w:p>
        </w:tc>
        <w:tc>
          <w:tcPr>
            <w:tcW w:type="pct" w:w="25%"/>
          </w:tcPr>
          <w:p>
            <w:r>
              <w:t xml:space="preserve">51-200 France SCIC (Collective Interest Cooperative) in Social Care &amp; Health</w:t>
            </w:r>
          </w:p>
        </w:tc>
        <w:tc>
          <w:tcPr>
            <w:tcW w:type="pct" w:w="20%"/>
          </w:tcPr>
          <w:p>
            <w:r>
              <w:t xml:space="preserve">Support Infrastructure</w:t>
            </w:r>
          </w:p>
        </w:tc>
        <w:tc>
          <w:tcPr>
            <w:tcW w:type="pct" w:w="15%"/>
          </w:tcPr>
          <w:p>
            <w:r>
              <w:t xml:space="preserve">3.0/5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2026-02-14T12:40:25.135Z</dcterms:created>
  <dcterms:modified xsi:type="dcterms:W3CDTF">2026-02-14T12:40:25.135Z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