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e2be0bd07fb0c9bb429550368a29b2b82f9cde"/>
    <w:p>
      <w:pPr>
        <w:pStyle w:val="Heading1"/>
      </w:pPr>
      <w:r>
        <w:t xml:space="preserve">Negative feedback loop architecture as a modular predictor of cancer vulnerability across signaling pathways</w:t>
      </w:r>
    </w:p>
    <w:p>
      <w:pPr>
        <w:pStyle w:val="FirstParagraph"/>
      </w:pPr>
      <w:r>
        <w:t xml:space="preserve">Theodor Spiro</w:t>
      </w:r>
      <w:r>
        <w:rPr>
          <w:vertAlign w:val="superscript"/>
        </w:rPr>
        <w:t xml:space="preserve">1</w:t>
      </w:r>
    </w:p>
    <w:p>
      <w:pPr>
        <w:pStyle w:val="BodyText"/>
      </w:pPr>
      <w:r>
        <w:rPr>
          <w:vertAlign w:val="superscript"/>
        </w:rPr>
        <w:t xml:space="preserve">1</w:t>
      </w:r>
      <w:r>
        <w:t xml:space="preserve">Independent Researcher</w:t>
      </w:r>
    </w:p>
    <w:p>
      <w:pPr>
        <w:pStyle w:val="BodyText"/>
      </w:pPr>
      <w:r>
        <w:rPr>
          <w:b/>
          <w:bCs/>
        </w:rPr>
        <w:t xml:space="preserve">Correspondence:</w:t>
      </w:r>
      <w:r>
        <w:t xml:space="preserve"> </w:t>
      </w:r>
      <w:r>
        <w:t xml:space="preserve">theospirin@gmail.com</w:t>
      </w:r>
    </w:p>
    <w:p>
      <w:r>
        <w:pict>
          <v:rect style="width:0;height:1.5pt" o:hralign="center" o:hrstd="t" o:hr="t"/>
        </w:pict>
      </w:r>
    </w:p>
    <w:bookmarkStart w:id="9" w:name="abstract"/>
    <w:p>
      <w:pPr>
        <w:pStyle w:val="Heading2"/>
      </w:pPr>
      <w:r>
        <w:t xml:space="preserve">Abstract</w:t>
      </w:r>
    </w:p>
    <w:p>
      <w:pPr>
        <w:pStyle w:val="FirstParagraph"/>
      </w:pPr>
      <w:r>
        <w:t xml:space="preserve">Negative feedback loops (NFLs) generate the oscillatory dynamics through which cells encode signaling information, yet whether NFL membership predicts cancer gene status — independently of pathway identity — has not been tested. Here I extract all short NFLs from 159 KEGG signaling networks, identifying 128 unique motifs in 14 oscillatory modules, and show that NFL genes are 59-fold enriched for Cancer Gene Census membership compared to non-NFL genes in the same pathways (</w:t>
      </w:r>
      <w:r>
        <w:rPr>
          <w:i/>
          <w:iCs/>
        </w:rPr>
        <w:t xml:space="preserve">p</w:t>
      </w:r>
      <w:r>
        <w:t xml:space="preserve"> </w:t>
      </w:r>
      <w:r>
        <w:t xml:space="preserve">= 9 x 10</w:t>
      </w:r>
      <w:r>
        <w:rPr>
          <w:vertAlign w:val="superscript"/>
        </w:rPr>
        <w:t xml:space="preserve">-44</w:t>
      </w:r>
      <w:r>
        <w:t xml:space="preserve">). This enrichment converges quantitatively with an independent temporal-classification approach (12.8x vs 12.1x), establishing NFL topology as a robust cancer predictor. However, cancer genes are not uniformly distributed across modules. To explain this gradient, I introduce an Irreversible Authority (IA) metric — the number of irreversible cell-fate decisions each module controls — which predicts cancer gene fraction across 20 modules (Spearman rho = 0.83, robust under perturbation analysis). Projection into the module activity eigenspace identifies 20 novel cancer gene candidates, 13 (65%) validated by IntOGen. Together, these results establish a two-level architecture of cancer vulnerability: NFL membership determines</w:t>
      </w:r>
      <w:r>
        <w:t xml:space="preserve"> </w:t>
      </w:r>
      <w:r>
        <w:rPr>
          <w:i/>
          <w:iCs/>
        </w:rPr>
        <w:t xml:space="preserve">whether</w:t>
      </w:r>
      <w:r>
        <w:t xml:space="preserve"> </w:t>
      </w:r>
      <w:r>
        <w:t xml:space="preserve">a gene is a cancer target, while Irreversible Authority determines</w:t>
      </w:r>
      <w:r>
        <w:t xml:space="preserve"> </w:t>
      </w:r>
      <w:r>
        <w:rPr>
          <w:i/>
          <w:iCs/>
        </w:rPr>
        <w:t xml:space="preserve">how much</w:t>
      </w:r>
      <w:r>
        <w:t xml:space="preserve">.</w:t>
      </w:r>
    </w:p>
    <w:p>
      <w:pPr>
        <w:pStyle w:val="BodyText"/>
      </w:pPr>
      <w:r>
        <w:rPr>
          <w:b/>
          <w:bCs/>
        </w:rPr>
        <w:t xml:space="preserve">Keywords:</w:t>
      </w:r>
      <w:r>
        <w:t xml:space="preserve"> </w:t>
      </w:r>
      <w:r>
        <w:t xml:space="preserve">negative feedback loops, cancer gene census, oscillatory modules, signaling topology, irreversible authority, KEGG, cancer vulnerability</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identification of cancer driver genes has historically proceeded pathway by pathway.</w:t>
      </w:r>
      <w:r>
        <w:t xml:space="preserve"> </w:t>
      </w:r>
      <w:r>
        <w:rPr>
          <w:i/>
          <w:iCs/>
        </w:rPr>
        <w:t xml:space="preserve">KRAS</w:t>
      </w:r>
      <w:r>
        <w:t xml:space="preserve"> </w:t>
      </w:r>
      <w:r>
        <w:t xml:space="preserve">is classified as an oncogene through study of the RAS-MAPK cascade;</w:t>
      </w:r>
      <w:r>
        <w:t xml:space="preserve"> </w:t>
      </w:r>
      <w:r>
        <w:rPr>
          <w:i/>
          <w:iCs/>
        </w:rPr>
        <w:t xml:space="preserve">APC</w:t>
      </w:r>
      <w:r>
        <w:t xml:space="preserve"> </w:t>
      </w:r>
      <w:r>
        <w:t xml:space="preserve">as a tumor suppressor through the Wnt/beta-catenin pathway;</w:t>
      </w:r>
      <w:r>
        <w:t xml:space="preserve"> </w:t>
      </w:r>
      <w:r>
        <w:rPr>
          <w:i/>
          <w:iCs/>
        </w:rPr>
        <w:t xml:space="preserve">TP53</w:t>
      </w:r>
      <w:r>
        <w:t xml:space="preserve"> </w:t>
      </w:r>
      <w:r>
        <w:t xml:space="preserve">through its apoptotic response to DNA damage. Each classification required independent mechanistic investigation. Whether shared topological features can predict cancer gene status across pathways — without pathway-specific knowledge — remains an open question.</w:t>
      </w:r>
    </w:p>
    <w:p>
      <w:pPr>
        <w:pStyle w:val="BodyText"/>
      </w:pPr>
      <w:r>
        <w:t xml:space="preserve">A companion study (Spiro, 2026) demonstrated that a gene’s temporal position within a signaling oscillation cycle predicts its cancer function: rise-phase genes map to oncogenes and recovery-phase genes map to tumor suppressors (odds ratio = 27.5,</w:t>
      </w:r>
      <w:r>
        <w:t xml:space="preserve"> </w:t>
      </w:r>
      <w:r>
        <w:rPr>
          <w:i/>
          <w:iCs/>
        </w:rPr>
        <w:t xml:space="preserve">p</w:t>
      </w:r>
      <w:r>
        <w:t xml:space="preserve"> </w:t>
      </w:r>
      <w:r>
        <w:t xml:space="preserve">= 3.6 x 10</w:t>
      </w:r>
      <w:r>
        <w:rPr>
          <w:vertAlign w:val="superscript"/>
        </w:rPr>
        <w:t xml:space="preserve">-9</w:t>
      </w:r>
      <w:r>
        <w:t xml:space="preserve"> </w:t>
      </w:r>
      <w:r>
        <w:t xml:space="preserve">across 14 pathways), with predicted inversions in growth-inhibitory pathways (p53, TGF-beta). That analysis relied on manual classification of 157 genes based on published oscillation models. The present work asks a complementary question: can the same organizational principle be recovered algorithmically, directly from pathway topology, and extended to predict</w:t>
      </w:r>
      <w:r>
        <w:t xml:space="preserve"> </w:t>
      </w:r>
      <w:r>
        <w:rPr>
          <w:i/>
          <w:iCs/>
        </w:rPr>
        <w:t xml:space="preserve">which</w:t>
      </w:r>
      <w:r>
        <w:t xml:space="preserve"> </w:t>
      </w:r>
      <w:r>
        <w:t xml:space="preserve">oscillatory modules carry the greatest cancer vulnerability?</w:t>
      </w:r>
    </w:p>
    <w:p>
      <w:pPr>
        <w:pStyle w:val="BodyText"/>
      </w:pPr>
      <w:r>
        <w:t xml:space="preserve">Signaling oscillations universally arise from negative feedback loops (NFLs): a fast activation arm coupled to a slower inhibitory arm generates pulsatile dynamics (Novak and Tyson, 2008; Purvis and Lahav, 2013). NFLs are among the most conserved network motifs in biology, appearing across kingdoms from yeast (MAPK/phosphatase) to mammals (NF-kappaB/IkappaB, p53/MDM2) (Alon, 2007). If oscillatory function is central to cellular decision-making, and if cancer arises from disruptions that convert oscillations to sustained signaling (Purvis et al., 2012), then NFL membership should be a specific predictor of cancer gene status — more specific than generic pathway membership.</w:t>
      </w:r>
    </w:p>
    <w:p>
      <w:pPr>
        <w:pStyle w:val="BodyText"/>
      </w:pPr>
      <w:r>
        <w:t xml:space="preserve">Two questions motivate this study:</w:t>
      </w:r>
    </w:p>
    <w:p>
      <w:pPr>
        <w:pStyle w:val="BodyText"/>
      </w:pPr>
      <w:r>
        <w:rPr>
          <w:b/>
          <w:bCs/>
        </w:rPr>
        <w:t xml:space="preserve">Q1.</w:t>
      </w:r>
      <w:r>
        <w:t xml:space="preserve"> </w:t>
      </w:r>
      <w:r>
        <w:t xml:space="preserve">Does NFL membership predict cancer gene status beyond what pathway membership alone explains?</w:t>
      </w:r>
    </w:p>
    <w:p>
      <w:pPr>
        <w:pStyle w:val="BodyText"/>
      </w:pPr>
      <w:r>
        <w:rPr>
          <w:b/>
          <w:bCs/>
        </w:rPr>
        <w:t xml:space="preserve">Q2.</w:t>
      </w:r>
      <w:r>
        <w:t xml:space="preserve"> </w:t>
      </w:r>
      <w:r>
        <w:t xml:space="preserve">Within NFL-positive modules, what determines the gradient of cancer vulnerability — why is the p53 module (73% CGC) far more cancer-enriched than the Circadian module (0% CGC), when both are oscillatory?</w:t>
      </w:r>
    </w:p>
    <w:p>
      <w:pPr>
        <w:pStyle w:val="BodyText"/>
      </w:pPr>
      <w:r>
        <w:t xml:space="preserve">Here I develop an automated pipeline to extract all short NFLs from KEGG signaling networks, quantify cancer gene enrichment with three nested statistical tests of increasing specificity (Q1), and introduce an architectural metric — Irreversible Authority — that explains the non-uniform distribution of cancer genes across oscillatory modules (Q2).</w:t>
      </w:r>
    </w:p>
    <w:p>
      <w:r>
        <w:pict>
          <v:rect style="width:0;height:1.5pt" o:hralign="center" o:hrstd="t" o:hr="t"/>
        </w:pict>
      </w:r>
    </w:p>
    <w:bookmarkEnd w:id="10"/>
    <w:bookmarkStart w:id="22" w:name="results"/>
    <w:p>
      <w:pPr>
        <w:pStyle w:val="Heading2"/>
      </w:pPr>
      <w:r>
        <w:t xml:space="preserve">Results</w:t>
      </w:r>
    </w:p>
    <w:bookmarkStart w:id="16" w:name="X88f269ae7967b627feec7d85021a56881cc9cfc"/>
    <w:p>
      <w:pPr>
        <w:pStyle w:val="Heading3"/>
      </w:pPr>
      <w:r>
        <w:t xml:space="preserve">Part 1: NFL topology predicts cancer gene status</w:t>
      </w:r>
    </w:p>
    <w:bookmarkStart w:id="11" w:name="Xdedc1b6afa8974770b806e39b111f83b3a7b12b"/>
    <w:p>
      <w:pPr>
        <w:pStyle w:val="Heading4"/>
      </w:pPr>
      <w:r>
        <w:t xml:space="preserve">Algorithmic extraction of negative feedback loops from KEGG signaling networks</w:t>
      </w:r>
    </w:p>
    <w:p>
      <w:pPr>
        <w:pStyle w:val="FirstParagraph"/>
      </w:pPr>
      <w:r>
        <w:t xml:space="preserve">I converted 159 KEGG signaling pathway KGML files into signed directed graphs (DiGraphs), where edges represent activation (+1) or inhibition (-1) relationships. To identify NFLs, I enumerated all simple cycles of length 2 (direct negative feedback, A activates B, B inhibits A) and length 3 (indirect negative feedback through one intermediate) using depth-limited search seeded from genes belonging to 22 literature-curated core oscillatory loops (Table S1). A cycle was classified as an NFL if the product of edge signs around the loop was negative (odd number of inhibitory edges).</w:t>
      </w:r>
    </w:p>
    <w:p>
      <w:pPr>
        <w:pStyle w:val="BodyText"/>
      </w:pPr>
      <w:r>
        <w:t xml:space="preserve">This procedure yielded 228 raw NFL motifs: 21 two-node and 207 three-node cycles. Many raw motifs represent the same biological feedback loop counted multiple times due to KEGG alias variants (e.g., AISIMD = SOCS3, DAKAR = CDK4). I resolved 37 KEGG aliases to standard HGNC symbols, then removed exact duplicates (identical gene sets with identical edge signs), reducing the count to 128 unique NFL motifs.</w:t>
      </w:r>
    </w:p>
    <w:p>
      <w:pPr>
        <w:pStyle w:val="BodyText"/>
      </w:pPr>
      <w:r>
        <w:t xml:space="preserve">These 128 motifs were further organized into 59 non-redundant modules using Jaccard similarity clustering (threshold J &gt; 0.5, indicating &gt;50% gene overlap) and merged into 14 pathway-level groups corresponding to established signaling pathways: NF-kappaB, p53, ERK/MAPK, Wnt, Notch, Circadian, Hippo, mTOR, JAK-STAT, TGF-beta, NRF2, Hedgehog, Calcium, and Cell Cycle (Table S3, Table S4).</w:t>
      </w:r>
    </w:p>
    <w:p>
      <w:pPr>
        <w:pStyle w:val="BodyText"/>
      </w:pPr>
      <w:r>
        <w:t xml:space="preserve">To estimate extraction fidelity, I randomly sampled 20 of 128 unique motifs and assessed biological support from published literature. Seven motifs (35%) had full experimental validation (published oscillation data or perturbation studies confirming the feedback relationship), nine (45%) had partial support (correct genes, plausible mechanism, but no direct oscillation measurement), and four (20%) were artifacts (inverted edge direction in the KEGG source, or hub gene connecting unrelated pathways). Overall, 80% of extracted motifs have at least partial biological support.</w:t>
      </w:r>
    </w:p>
    <w:p>
      <w:pPr>
        <w:pStyle w:val="BodyText"/>
      </w:pPr>
      <w:r>
        <w:t xml:space="preserve">The 128 motifs collectively encompass 76 unique genes (43 from the original 22 core loops plus 33 algorithmically discovered), of which 36 are members of the COSMIC Cancer Gene Census (CGC v103; 740 genes total). The composition of each module, its gene membership, and CGC status are provided in Tables S3 and S4.</w:t>
      </w:r>
    </w:p>
    <w:bookmarkEnd w:id="11"/>
    <w:bookmarkStart w:id="12" w:name="X8f70166f373ec711e33e66da5d1d64d8eaac41c"/>
    <w:p>
      <w:pPr>
        <w:pStyle w:val="Heading4"/>
      </w:pPr>
      <w:r>
        <w:t xml:space="preserve">NFL genes are specifically enriched for cancer genes: three nested validity gates</w:t>
      </w:r>
    </w:p>
    <w:p>
      <w:pPr>
        <w:pStyle w:val="FirstParagraph"/>
      </w:pPr>
      <w:r>
        <w:t xml:space="preserve">I evaluated cancer gene enrichment through three nested statistical tests of increasing specificity, each controlling for a broader confound than the last (Fig. 2A):</w:t>
      </w:r>
    </w:p>
    <w:p>
      <w:pPr>
        <w:pStyle w:val="BodyText"/>
      </w:pPr>
      <w:r>
        <w:rPr>
          <w:b/>
          <w:bCs/>
        </w:rPr>
        <w:t xml:space="preserve">Gate 1: NFL genes vs. genome background.</w:t>
      </w:r>
      <w:r>
        <w:t xml:space="preserve"> </w:t>
      </w:r>
      <w:r>
        <w:t xml:space="preserve">Of 76 NFL genes, 36 are CGC members (47.4%). Compared to the genome background rate of 3.7% (740/20,000), this represents a 12.8-fold enrichment (hypergeometric</w:t>
      </w:r>
      <w:r>
        <w:t xml:space="preserve"> </w:t>
      </w:r>
      <w:r>
        <w:rPr>
          <w:i/>
          <w:iCs/>
        </w:rPr>
        <w:t xml:space="preserve">p</w:t>
      </w:r>
      <w:r>
        <w:t xml:space="preserve"> </w:t>
      </w:r>
      <w:r>
        <w:t xml:space="preserve">= 1.9 x 10</w:t>
      </w:r>
      <w:r>
        <w:rPr>
          <w:vertAlign w:val="superscript"/>
        </w:rPr>
        <w:t xml:space="preserve">-31</w:t>
      </w:r>
      <w:r>
        <w:t xml:space="preserve">).</w:t>
      </w:r>
    </w:p>
    <w:p>
      <w:pPr>
        <w:pStyle w:val="BodyText"/>
      </w:pPr>
      <w:r>
        <w:rPr>
          <w:b/>
          <w:bCs/>
        </w:rPr>
        <w:t xml:space="preserve">Gate 2: NFL genes vs. all KEGG signaling genes.</w:t>
      </w:r>
      <w:r>
        <w:t xml:space="preserve"> </w:t>
      </w:r>
      <w:r>
        <w:t xml:space="preserve">KEGG signaling pathways contain 16,760 genes total, of which 475 are CGC members (2.8%). NFL genes show a 28.1-fold enrichment over this pathway-level background (hypergeometric</w:t>
      </w:r>
      <w:r>
        <w:t xml:space="preserve"> </w:t>
      </w:r>
      <w:r>
        <w:rPr>
          <w:i/>
          <w:iCs/>
        </w:rPr>
        <w:t xml:space="preserve">p</w:t>
      </w:r>
      <w:r>
        <w:t xml:space="preserve"> </w:t>
      </w:r>
      <w:r>
        <w:t xml:space="preserve">= 5.5 x 10</w:t>
      </w:r>
      <w:r>
        <w:rPr>
          <w:vertAlign w:val="superscript"/>
        </w:rPr>
        <w:t xml:space="preserve">-44</w:t>
      </w:r>
      <w:r>
        <w:t xml:space="preserve">). This rules out the possibility that enrichment is driven simply by NFL genes being in cancer-relevant pathways.</w:t>
      </w:r>
    </w:p>
    <w:p>
      <w:pPr>
        <w:pStyle w:val="BodyText"/>
      </w:pPr>
      <w:r>
        <w:rPr>
          <w:b/>
          <w:bCs/>
        </w:rPr>
        <w:t xml:space="preserve">Gate 3: NFL genes vs. non-NFL genes in the same pathways (critical test).</w:t>
      </w:r>
      <w:r>
        <w:t xml:space="preserve"> </w:t>
      </w:r>
      <w:r>
        <w:t xml:space="preserve">This is the most stringent test: within the same KEGG signaling pathways, are genes participating in NFLs more likely to be cancer genes than genes that do not? The 2x2 contingency table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CGC member</w:t>
            </w:r>
          </w:p>
        </w:tc>
        <w:tc>
          <w:tcPr/>
          <w:p>
            <w:pPr>
              <w:pStyle w:val="Compact"/>
            </w:pPr>
            <w:r>
              <w:t xml:space="preserve">Not CGC</w:t>
            </w:r>
          </w:p>
        </w:tc>
        <w:tc>
          <w:tcPr/>
          <w:p>
            <w:pPr>
              <w:pStyle w:val="Compact"/>
            </w:pPr>
            <w:r>
              <w:t xml:space="preserve">Total</w:t>
            </w:r>
          </w:p>
        </w:tc>
      </w:tr>
      <w:tr>
        <w:tc>
          <w:tcPr/>
          <w:p>
            <w:pPr>
              <w:pStyle w:val="Compact"/>
            </w:pPr>
            <w:r>
              <w:t xml:space="preserve">NFL gene</w:t>
            </w:r>
          </w:p>
        </w:tc>
        <w:tc>
          <w:tcPr/>
          <w:p>
            <w:pPr>
              <w:pStyle w:val="Compact"/>
            </w:pPr>
            <w:r>
              <w:t xml:space="preserve">36</w:t>
            </w:r>
          </w:p>
        </w:tc>
        <w:tc>
          <w:tcPr/>
          <w:p>
            <w:pPr>
              <w:pStyle w:val="Compact"/>
            </w:pPr>
            <w:r>
              <w:t xml:space="preserve">40</w:t>
            </w:r>
          </w:p>
        </w:tc>
        <w:tc>
          <w:tcPr/>
          <w:p>
            <w:pPr>
              <w:pStyle w:val="Compact"/>
            </w:pPr>
            <w:r>
              <w:t xml:space="preserve">76</w:t>
            </w:r>
          </w:p>
        </w:tc>
      </w:tr>
      <w:tr>
        <w:tc>
          <w:tcPr/>
          <w:p>
            <w:pPr>
              <w:pStyle w:val="Compact"/>
            </w:pPr>
            <w:r>
              <w:t xml:space="preserve">Non-NFL gene</w:t>
            </w:r>
          </w:p>
        </w:tc>
        <w:tc>
          <w:tcPr/>
          <w:p>
            <w:pPr>
              <w:pStyle w:val="Compact"/>
            </w:pPr>
            <w:r>
              <w:t xml:space="preserve">251</w:t>
            </w:r>
          </w:p>
        </w:tc>
        <w:tc>
          <w:tcPr/>
          <w:p>
            <w:pPr>
              <w:pStyle w:val="Compact"/>
            </w:pPr>
            <w:r>
              <w:t xml:space="preserve">16,444</w:t>
            </w:r>
          </w:p>
        </w:tc>
        <w:tc>
          <w:tcPr/>
          <w:p>
            <w:pPr>
              <w:pStyle w:val="Compact"/>
            </w:pPr>
            <w:r>
              <w:t xml:space="preserve">16,695</w:t>
            </w:r>
          </w:p>
        </w:tc>
      </w:tr>
    </w:tbl>
    <w:p>
      <w:pPr>
        <w:pStyle w:val="BodyText"/>
      </w:pPr>
      <w:r>
        <w:t xml:space="preserve">Fisher exact test: odds ratio = 58.96,</w:t>
      </w:r>
      <w:r>
        <w:t xml:space="preserve"> </w:t>
      </w:r>
      <w:r>
        <w:rPr>
          <w:i/>
          <w:iCs/>
        </w:rPr>
        <w:t xml:space="preserve">p</w:t>
      </w:r>
      <w:r>
        <w:t xml:space="preserve"> </w:t>
      </w:r>
      <w:r>
        <w:t xml:space="preserve">= 9.1 x 10</w:t>
      </w:r>
      <w:r>
        <w:rPr>
          <w:vertAlign w:val="superscript"/>
        </w:rPr>
        <w:t xml:space="preserve">-44</w:t>
      </w:r>
      <w:r>
        <w:t xml:space="preserve">.</w:t>
      </w:r>
    </w:p>
    <w:p>
      <w:pPr>
        <w:pStyle w:val="BodyText"/>
      </w:pPr>
      <w:r>
        <w:t xml:space="preserve">All three gates pass with increasing effect size (12.8x, 28.1x, 59x), confirming that the enrichment is specific to NFL topology, not confounded by pathway membership or genome-wide cancer gene density.</w:t>
      </w:r>
    </w:p>
    <w:bookmarkEnd w:id="12"/>
    <w:bookmarkStart w:id="13" w:name="Xa494b751e8d66aae0f39c06ac6ebb5ee0c544ff"/>
    <w:p>
      <w:pPr>
        <w:pStyle w:val="Heading4"/>
      </w:pPr>
      <w:r>
        <w:t xml:space="preserve">Convergent validation: two independent methods, same number</w:t>
      </w:r>
    </w:p>
    <w:p>
      <w:pPr>
        <w:pStyle w:val="FirstParagraph"/>
      </w:pPr>
      <w:r>
        <w:t xml:space="preserve">The 12.8-fold enrichment of NFL genes over genome background (Paper 2, topological extraction of 76 genes) converges quantitatively with the 12.1-fold enrichment found in Paper 1 (temporal classification of 157 genes from the same 14 pathways). These two approaches differ in method (algorithmic cycle detection vs. manual oscillation-phase assignment), gene set (76 vs. 157), and classification logic (topology vs. temporal role), yet produce enrichment estimates within 6% of each other.</w:t>
      </w:r>
    </w:p>
    <w:p>
      <w:pPr>
        <w:pStyle w:val="BodyText"/>
      </w:pPr>
      <w:r>
        <w:t xml:space="preserve">Among the 36 CGC genes found through NFL extraction, 24 overlap with Paper 1 and 12 are unique to the topological approach (including BCL2, CDKN2A, FOXO1, and RB1). Conversely, 46 CGC genes identified by Paper 1’s temporal classification were not captured by NFL extraction, reflecting genes in oscillatory pathways that do not participate in short feedback loops. The two methods thus provide complementary coverage of the cancer gene landscape.</w:t>
      </w:r>
    </w:p>
    <w:bookmarkEnd w:id="13"/>
    <w:bookmarkStart w:id="14" w:name="X7777f236855a537c152d16ff1f867bbf1e91923"/>
    <w:p>
      <w:pPr>
        <w:pStyle w:val="Heading4"/>
      </w:pPr>
      <w:r>
        <w:t xml:space="preserve">Oscillatory modules exhibit genuine but non-trivial modularity</w:t>
      </w:r>
    </w:p>
    <w:p>
      <w:pPr>
        <w:pStyle w:val="FirstParagraph"/>
      </w:pPr>
      <w:r>
        <w:t xml:space="preserve">To determine whether the 128 NFL motifs form biologically coherent modules, I performed unsupervised community detection on the motif-motif network, where edges connect motifs sharing at least one gene, weighted by Jaccard similarity. Louvain community detection (resolution = 1.0) identified 10 communities from a network of 2,042 edges with density 0.25.</w:t>
      </w:r>
    </w:p>
    <w:p>
      <w:pPr>
        <w:pStyle w:val="BodyText"/>
      </w:pPr>
      <w:r>
        <w:t xml:space="preserve">The resulting modularity is Q = 0.39, indicating that the NFL network has substantially more within-community edges than expected by chance. However, the correspondence between data-driven communities and KEGG pathway annotations is only partial: Adjusted Rand Index (ARI) = 0.48. Six pathways (NF-kappaB, Wnt, Circadian, Calcium, NRF2, Hedgehog) form clean, isolated communities. The remaining pathways form two large mixed clusters: a JAK-STAT/mTOR/PI3K cluster (reflecting shared use of STAT and AKT signaling nodes) and an ERK/TGF-beta/Cell Cycle cluster (reflecting shared use of MAPK and SMAD nodes).</w:t>
      </w:r>
    </w:p>
    <w:p>
      <w:pPr>
        <w:pStyle w:val="BodyText"/>
      </w:pPr>
      <w:r>
        <w:t xml:space="preserve">The modular structure is shaped by a small number of hub genes that participate in multiple NFLs across pathways. MAPK1 (ERK2) participates in NFLs from three distinct modules (ERK/MAPK, BMP/SMAD, JAK-STAT), confirming its role as a cross-pathway signaling integrator. Other cross-module hubs include TP53, SMAD2/3, and PIK3CA. These hub genes are disproportionately cancer drivers: all four are CGC members.</w:t>
      </w:r>
    </w:p>
    <w:bookmarkEnd w:id="14"/>
    <w:bookmarkStart w:id="15" w:name="X31f25f02db185c2f402ea866e808c3f9b3ee295"/>
    <w:p>
      <w:pPr>
        <w:pStyle w:val="Heading4"/>
      </w:pPr>
      <w:r>
        <w:t xml:space="preserve">Evolutionary conservation reveals an asymmetry-first architecture</w:t>
      </w:r>
    </w:p>
    <w:p>
      <w:pPr>
        <w:pStyle w:val="FirstParagraph"/>
      </w:pPr>
      <w:r>
        <w:t xml:space="preserve">I mapped the 22 core NFL loop pairs to orthologs across 15 species spanning approximately 1.5 billion years of eukaryotic evolution, from</w:t>
      </w:r>
      <w:r>
        <w:t xml:space="preserve"> </w:t>
      </w:r>
      <w:r>
        <w:rPr>
          <w:i/>
          <w:iCs/>
        </w:rPr>
        <w:t xml:space="preserve">S. cerevisiae</w:t>
      </w:r>
      <w:r>
        <w:t xml:space="preserve"> </w:t>
      </w:r>
      <w:r>
        <w:t xml:space="preserve">and</w:t>
      </w:r>
      <w:r>
        <w:t xml:space="preserve"> </w:t>
      </w:r>
      <w:r>
        <w:rPr>
          <w:i/>
          <w:iCs/>
        </w:rPr>
        <w:t xml:space="preserve">D. discoideum</w:t>
      </w:r>
      <w:r>
        <w:t xml:space="preserve"> </w:t>
      </w:r>
      <w:r>
        <w:t xml:space="preserve">to mammals (Table S2). Ortholog mapping was performed using Ensembl Compara, requiring that both the activator and inhibitor genes of a loop have identifiable one-to-one orthologs in a given species.</w:t>
      </w:r>
    </w:p>
    <w:p>
      <w:pPr>
        <w:pStyle w:val="BodyText"/>
      </w:pPr>
      <w:r>
        <w:t xml:space="preserve">A clear conservation gradient emerges: 22/22 loops (100%) are present in at least one vertebrate species, 11/22 (50%) have identifiable invertebrate orthologs (</w:t>
      </w:r>
      <w:r>
        <w:rPr>
          <w:i/>
          <w:iCs/>
        </w:rPr>
        <w:t xml:space="preserve">D. melanogaster</w:t>
      </w:r>
      <w:r>
        <w:t xml:space="preserve">,</w:t>
      </w:r>
      <w:r>
        <w:t xml:space="preserve"> </w:t>
      </w:r>
      <w:r>
        <w:rPr>
          <w:i/>
          <w:iCs/>
        </w:rPr>
        <w:t xml:space="preserve">C. elegans</w:t>
      </w:r>
      <w:r>
        <w:t xml:space="preserve">), and 6/22 (27%) have detectable orthologs in unicellular organisms. The most ancient NFLs include ERK/DUSP (phosphatase-based, detected in yeast), Ca</w:t>
      </w:r>
      <w:r>
        <w:rPr>
          <w:vertAlign w:val="superscript"/>
        </w:rPr>
        <w:t xml:space="preserve">2+</w:t>
      </w:r>
      <w:r>
        <w:t xml:space="preserve">/SERCA (pump-based, detected across eukaryotes), and NRF2/KEAP1 (ubiquitin-based, detected in plants and fungi). Vertebrate-specific innovations include Notch/HES, JAK-STAT/SOCS, and Hedgehog/GLI.</w:t>
      </w:r>
    </w:p>
    <w:p>
      <w:pPr>
        <w:pStyle w:val="BodyText"/>
      </w:pPr>
      <w:r>
        <w:t xml:space="preserve">To test whether evolutionary age correlates with oscillatory waveform shape, I combined loop ages with waveform asymmetry values (A = tau_rise/T, where tau_rise is the rise time and T is the period) from Paper 1. Of the 22 loops, 14 have experimentally determined or computationally estimated A values. The correlation between loop age and waveform asymmetry is a negative trend (Spearman rho = -0.38,</w:t>
      </w:r>
      <w:r>
        <w:t xml:space="preserve"> </w:t>
      </w:r>
      <w:r>
        <w:rPr>
          <w:i/>
          <w:iCs/>
        </w:rPr>
        <w:t xml:space="preserve">p</w:t>
      </w:r>
      <w:r>
        <w:t xml:space="preserve"> </w:t>
      </w:r>
      <w:r>
        <w:t xml:space="preserve">= 0.18 two-tailed, N = 14; bootstrap 95% CI [-0.85, 0.23]) that becomes significant upon exclusion of NRF2/KEAP1, a biologically motivated outlier (rho = -0.66,</w:t>
      </w:r>
      <w:r>
        <w:t xml:space="preserve"> </w:t>
      </w:r>
      <w:r>
        <w:rPr>
          <w:i/>
          <w:iCs/>
        </w:rPr>
        <w:t xml:space="preserve">p</w:t>
      </w:r>
      <w:r>
        <w:t xml:space="preserve"> </w:t>
      </w:r>
      <w:r>
        <w:t xml:space="preserve">= 0.015, N = 13; bootstrap 95% CI [-0.89, -0.17], excluding zero). Leave-one-out analysis confirms that NRF2 is the only loop whose removal changes significance; all other removals yield rho in the range [-0.27, -0.44].</w:t>
      </w:r>
    </w:p>
    <w:p>
      <w:pPr>
        <w:pStyle w:val="BodyText"/>
      </w:pPr>
      <w:r>
        <w:t xml:space="preserve">The NRF2/KEAP1 outlier merits explanation. This loop is ancient (detectable in plants) but symmetric (A approximately 0.48) in mammalian cells. NRF2 is a stress-response pathway that was co-opted for antioxidant defense in metazoans; its waveform symmetry likely reflects convergent adaptation to a detection function (symmetric oscillations optimize threshold detection) rather than ancestral architecture. Without NRF2, the data reveal a clear evolutionary pattern: the oldest NFLs (&gt;1000 Mya) all exhibit asymmetric waveforms (A &lt; 0.35, Class I in the terminology of Paper 1), while symmetric waveforms (A &gt; 0.45, Class II) appear exclusively among metazoan innovations.</w:t>
      </w:r>
    </w:p>
    <w:bookmarkEnd w:id="15"/>
    <w:bookmarkEnd w:id="16"/>
    <w:bookmarkStart w:id="21" w:name="X836a503f074ced60993f3785ab60593a68d194c"/>
    <w:p>
      <w:pPr>
        <w:pStyle w:val="Heading3"/>
      </w:pPr>
      <w:r>
        <w:t xml:space="preserve">Part 2: Irreversible Authority predicts the vulnerability gradient</w:t>
      </w:r>
    </w:p>
    <w:p>
      <w:pPr>
        <w:pStyle w:val="FirstParagraph"/>
      </w:pPr>
      <w:r>
        <w:t xml:space="preserve">Having established that NFL membership is a specific cancer predictor (Part 1), I next asked whether topology alone is sufficient or whether finer architectural distinctions predict graded vulnerability across modules. The 59-fold enrichment applies to NFL genes as a class, but cancer genes are distributed non-uniformly: 72.7% of p53 module genes are CGC members versus 0% for the Circadian module. What determines this gradient?</w:t>
      </w:r>
    </w:p>
    <w:bookmarkStart w:id="17" w:name="expansion-to-20-oscillatory-modules"/>
    <w:p>
      <w:pPr>
        <w:pStyle w:val="Heading4"/>
      </w:pPr>
      <w:r>
        <w:t xml:space="preserve">Expansion to 20 oscillatory modules</w:t>
      </w:r>
    </w:p>
    <w:p>
      <w:pPr>
        <w:pStyle w:val="FirstParagraph"/>
      </w:pPr>
      <w:r>
        <w:t xml:space="preserve">To extend the analysis beyond the 14 KEGG-derived modules, I screened six additional oscillatory pathways with documented or predicted negative feedback regulation: AMPK (energy sensing), SREBP (lipid homeostasis), ATR/CHK1 (replication checkpoint), Rho/ROCK (cytoskeletal dynamics), PPAR/LXR (nuclear receptor cycling), and Autophagy (ULK1/mTOR feedback). Each was confirmed to contain at least one NFL motif with 3 or more unique genes by the same extraction pipeline. The expanded set of 20 modules (Table S8) was used for all subsequent analyses.</w:t>
      </w:r>
    </w:p>
    <w:bookmarkEnd w:id="17"/>
    <w:bookmarkStart w:id="18" w:name="three-architectural-hypotheses"/>
    <w:p>
      <w:pPr>
        <w:pStyle w:val="Heading4"/>
      </w:pPr>
      <w:r>
        <w:t xml:space="preserve">Three architectural hypotheses</w:t>
      </w:r>
    </w:p>
    <w:p>
      <w:pPr>
        <w:pStyle w:val="FirstParagraph"/>
      </w:pPr>
      <w:r>
        <w:rPr>
          <w:b/>
          <w:bCs/>
        </w:rPr>
        <w:t xml:space="preserve">Hypothesis 1: Maintenance cost.</w:t>
      </w:r>
      <w:r>
        <w:t xml:space="preserve"> </w:t>
      </w:r>
      <w:r>
        <w:t xml:space="preserve">Modules with higher expression (greater metabolic cost) should be harder to maintain and more vulnerable to cancer-causing mutations. Result: no significant correlation between module expression rank and CGC fraction (Spearman rho = 0.03,</w:t>
      </w:r>
      <w:r>
        <w:t xml:space="preserve"> </w:t>
      </w:r>
      <w:r>
        <w:rPr>
          <w:i/>
          <w:iCs/>
        </w:rPr>
        <w:t xml:space="preserve">p</w:t>
      </w:r>
      <w:r>
        <w:t xml:space="preserve"> </w:t>
      </w:r>
      <w:r>
        <w:t xml:space="preserve">= 0.96).</w:t>
      </w:r>
      <w:r>
        <w:t xml:space="preserve"> </w:t>
      </w:r>
      <w:r>
        <w:rPr>
          <w:b/>
          <w:bCs/>
        </w:rPr>
        <w:t xml:space="preserve">Rejected.</w:t>
      </w:r>
    </w:p>
    <w:p>
      <w:pPr>
        <w:pStyle w:val="BodyText"/>
      </w:pPr>
      <w:r>
        <w:rPr>
          <w:b/>
          <w:bCs/>
        </w:rPr>
        <w:t xml:space="preserve">Hypothesis 2: Convergence (hub degree).</w:t>
      </w:r>
      <w:r>
        <w:t xml:space="preserve"> </w:t>
      </w:r>
      <w:r>
        <w:t xml:space="preserve">Modules with more incoming connections from other pathways should be more vulnerable because more perturbations can reach them. Result: moderate correlation (partial rho = 0.25,</w:t>
      </w:r>
      <w:r>
        <w:t xml:space="preserve"> </w:t>
      </w:r>
      <w:r>
        <w:rPr>
          <w:i/>
          <w:iCs/>
        </w:rPr>
        <w:t xml:space="preserve">p</w:t>
      </w:r>
      <w:r>
        <w:t xml:space="preserve"> </w:t>
      </w:r>
      <w:r>
        <w:t xml:space="preserve">= 0.4 after controlling for total expression).</w:t>
      </w:r>
      <w:r>
        <w:t xml:space="preserve"> </w:t>
      </w:r>
      <w:r>
        <w:rPr>
          <w:b/>
          <w:bCs/>
        </w:rPr>
        <w:t xml:space="preserve">Insufficient.</w:t>
      </w:r>
    </w:p>
    <w:p>
      <w:pPr>
        <w:pStyle w:val="BodyText"/>
      </w:pPr>
      <w:r>
        <w:rPr>
          <w:b/>
          <w:bCs/>
        </w:rPr>
        <w:t xml:space="preserve">Hypothesis 3: Irreversible Authority (IA).</w:t>
      </w:r>
      <w:r>
        <w:t xml:space="preserve"> </w:t>
      </w:r>
      <w:r>
        <w:t xml:space="preserve">Modules that control more irreversible cell-fate decisions (apoptosis, senescence, terminal differentiation, DNA damage checkpoint commitment) should be more cancer-relevant because their disruption has irreversible phenotypic consequences. This hypothesis is developed in full below.</w:t>
      </w:r>
    </w:p>
    <w:bookmarkEnd w:id="18"/>
    <w:bookmarkStart w:id="19" w:name="X67fb26587a958992201c1c918e207821b97f9e3"/>
    <w:p>
      <w:pPr>
        <w:pStyle w:val="Heading4"/>
      </w:pPr>
      <w:r>
        <w:t xml:space="preserve">Irreversible Authority predicts cancer vulnerability</w:t>
      </w:r>
    </w:p>
    <w:p>
      <w:pPr>
        <w:pStyle w:val="FirstParagraph"/>
      </w:pPr>
      <w:r>
        <w:t xml:space="preserve">I quantified IA as the number of distinct irreversible cellular outcomes controlled by each module, based on established pathway biology and independent of cancer gene databases:</w:t>
      </w:r>
    </w:p>
    <w:tbl>
      <w:tblPr>
        <w:tblStyle w:val="Table"/>
        <w:tblW w:type="pct" w:w="5000"/>
        <w:tblLayout w:type="fixed"/>
        <w:tblLook w:firstRow="1" w:lastRow="0" w:firstColumn="0" w:lastColumn="0" w:noHBand="0" w:noVBand="0" w:val="0020"/>
      </w:tblPr>
      <w:tblGrid>
        <w:gridCol w:w="1131"/>
        <w:gridCol w:w="1272"/>
        <w:gridCol w:w="1838"/>
        <w:gridCol w:w="3677"/>
      </w:tblGrid>
      <w:tr>
        <w:trPr>
          <w:tblHeader w:val="on"/>
        </w:trPr>
        <w:tc>
          <w:tcPr/>
          <w:p>
            <w:pPr>
              <w:pStyle w:val="Compact"/>
            </w:pPr>
            <w:r>
              <w:t xml:space="preserve">Module</w:t>
            </w:r>
          </w:p>
        </w:tc>
        <w:tc>
          <w:tcPr/>
          <w:p>
            <w:pPr>
              <w:pStyle w:val="Compact"/>
            </w:pPr>
            <w:r>
              <w:t xml:space="preserve">IA score</w:t>
            </w:r>
          </w:p>
        </w:tc>
        <w:tc>
          <w:tcPr/>
          <w:p>
            <w:pPr>
              <w:pStyle w:val="Compact"/>
            </w:pPr>
            <w:r>
              <w:t xml:space="preserve">CGC fraction</w:t>
            </w:r>
          </w:p>
        </w:tc>
        <w:tc>
          <w:tcPr/>
          <w:p>
            <w:pPr>
              <w:pStyle w:val="Compact"/>
            </w:pPr>
            <w:r>
              <w:t xml:space="preserve">Key irreversible decisions</w:t>
            </w:r>
          </w:p>
        </w:tc>
      </w:tr>
      <w:tr>
        <w:tc>
          <w:tcPr/>
          <w:p>
            <w:pPr>
              <w:pStyle w:val="Compact"/>
            </w:pPr>
            <w:r>
              <w:t xml:space="preserve">p53</w:t>
            </w:r>
          </w:p>
        </w:tc>
        <w:tc>
          <w:tcPr/>
          <w:p>
            <w:pPr>
              <w:pStyle w:val="Compact"/>
            </w:pPr>
            <w:r>
              <w:t xml:space="preserve">3</w:t>
            </w:r>
          </w:p>
        </w:tc>
        <w:tc>
          <w:tcPr/>
          <w:p>
            <w:pPr>
              <w:pStyle w:val="Compact"/>
            </w:pPr>
            <w:r>
              <w:t xml:space="preserve">0.727</w:t>
            </w:r>
          </w:p>
        </w:tc>
        <w:tc>
          <w:tcPr/>
          <w:p>
            <w:pPr>
              <w:pStyle w:val="Compact"/>
            </w:pPr>
            <w:r>
              <w:t xml:space="preserve">apoptosis, senescence, DNA repair commitment</w:t>
            </w:r>
          </w:p>
        </w:tc>
      </w:tr>
      <w:tr>
        <w:tc>
          <w:tcPr/>
          <w:p>
            <w:pPr>
              <w:pStyle w:val="Compact"/>
            </w:pPr>
            <w:r>
              <w:t xml:space="preserve">Wnt</w:t>
            </w:r>
          </w:p>
        </w:tc>
        <w:tc>
          <w:tcPr/>
          <w:p>
            <w:pPr>
              <w:pStyle w:val="Compact"/>
            </w:pPr>
            <w:r>
              <w:t xml:space="preserve">3</w:t>
            </w:r>
          </w:p>
        </w:tc>
        <w:tc>
          <w:tcPr/>
          <w:p>
            <w:pPr>
              <w:pStyle w:val="Compact"/>
            </w:pPr>
            <w:r>
              <w:t xml:space="preserve">0.600</w:t>
            </w:r>
          </w:p>
        </w:tc>
        <w:tc>
          <w:tcPr/>
          <w:p>
            <w:pPr>
              <w:pStyle w:val="Compact"/>
            </w:pPr>
            <w:r>
              <w:t xml:space="preserve">terminal differentiation, stem cell fate, EMT</w:t>
            </w:r>
          </w:p>
        </w:tc>
      </w:tr>
      <w:tr>
        <w:tc>
          <w:tcPr/>
          <w:p>
            <w:pPr>
              <w:pStyle w:val="Compact"/>
            </w:pPr>
            <w:r>
              <w:t xml:space="preserve">Notch</w:t>
            </w:r>
          </w:p>
        </w:tc>
        <w:tc>
          <w:tcPr/>
          <w:p>
            <w:pPr>
              <w:pStyle w:val="Compact"/>
            </w:pPr>
            <w:r>
              <w:t xml:space="preserve">3</w:t>
            </w:r>
          </w:p>
        </w:tc>
        <w:tc>
          <w:tcPr/>
          <w:p>
            <w:pPr>
              <w:pStyle w:val="Compact"/>
            </w:pPr>
            <w:r>
              <w:t xml:space="preserve">0.308</w:t>
            </w:r>
          </w:p>
        </w:tc>
        <w:tc>
          <w:tcPr/>
          <w:p>
            <w:pPr>
              <w:pStyle w:val="Compact"/>
            </w:pPr>
            <w:r>
              <w:t xml:space="preserve">lateral inhibition, lineage commitment, angiogenesis</w:t>
            </w:r>
          </w:p>
        </w:tc>
      </w:tr>
      <w:tr>
        <w:tc>
          <w:tcPr/>
          <w:p>
            <w:pPr>
              <w:pStyle w:val="Compact"/>
            </w:pPr>
            <w:r>
              <w:t xml:space="preserve">Cell Cycle</w:t>
            </w:r>
          </w:p>
        </w:tc>
        <w:tc>
          <w:tcPr/>
          <w:p>
            <w:pPr>
              <w:pStyle w:val="Compact"/>
            </w:pPr>
            <w:r>
              <w:t xml:space="preserve">2</w:t>
            </w:r>
          </w:p>
        </w:tc>
        <w:tc>
          <w:tcPr/>
          <w:p>
            <w:pPr>
              <w:pStyle w:val="Compact"/>
            </w:pPr>
            <w:r>
              <w:t xml:space="preserve">0.462</w:t>
            </w:r>
          </w:p>
        </w:tc>
        <w:tc>
          <w:tcPr/>
          <w:p>
            <w:pPr>
              <w:pStyle w:val="Compact"/>
            </w:pPr>
            <w:r>
              <w:t xml:space="preserve">mitotic commitment, cytokinesis</w:t>
            </w:r>
          </w:p>
        </w:tc>
      </w:tr>
      <w:tr>
        <w:tc>
          <w:tcPr/>
          <w:p>
            <w:pPr>
              <w:pStyle w:val="Compact"/>
            </w:pPr>
            <w:r>
              <w:t xml:space="preserve">NF-kappaB</w:t>
            </w:r>
          </w:p>
        </w:tc>
        <w:tc>
          <w:tcPr/>
          <w:p>
            <w:pPr>
              <w:pStyle w:val="Compact"/>
            </w:pPr>
            <w:r>
              <w:t xml:space="preserve">2</w:t>
            </w:r>
          </w:p>
        </w:tc>
        <w:tc>
          <w:tcPr/>
          <w:p>
            <w:pPr>
              <w:pStyle w:val="Compact"/>
            </w:pPr>
            <w:r>
              <w:t xml:space="preserve">0.400</w:t>
            </w:r>
          </w:p>
        </w:tc>
        <w:tc>
          <w:tcPr/>
          <w:p>
            <w:pPr>
              <w:pStyle w:val="Compact"/>
            </w:pPr>
            <w:r>
              <w:t xml:space="preserve">inflammatory commitment, survival decision</w:t>
            </w:r>
          </w:p>
        </w:tc>
      </w:tr>
      <w:tr>
        <w:tc>
          <w:tcPr/>
          <w:p>
            <w:pPr>
              <w:pStyle w:val="Compact"/>
            </w:pPr>
            <w:r>
              <w:t xml:space="preserve">ERK/MAPK</w:t>
            </w:r>
          </w:p>
        </w:tc>
        <w:tc>
          <w:tcPr/>
          <w:p>
            <w:pPr>
              <w:pStyle w:val="Compact"/>
            </w:pPr>
            <w:r>
              <w:t xml:space="preserve">2</w:t>
            </w:r>
          </w:p>
        </w:tc>
        <w:tc>
          <w:tcPr/>
          <w:p>
            <w:pPr>
              <w:pStyle w:val="Compact"/>
            </w:pPr>
            <w:r>
              <w:t xml:space="preserve">0.467</w:t>
            </w:r>
          </w:p>
        </w:tc>
        <w:tc>
          <w:tcPr/>
          <w:p>
            <w:pPr>
              <w:pStyle w:val="Compact"/>
            </w:pPr>
            <w:r>
              <w:t xml:space="preserve">proliferation vs. differentiation</w:t>
            </w:r>
          </w:p>
        </w:tc>
      </w:tr>
      <w:tr>
        <w:tc>
          <w:tcPr/>
          <w:p>
            <w:pPr>
              <w:pStyle w:val="Compact"/>
            </w:pPr>
            <w:r>
              <w:t xml:space="preserve">Hippo</w:t>
            </w:r>
          </w:p>
        </w:tc>
        <w:tc>
          <w:tcPr/>
          <w:p>
            <w:pPr>
              <w:pStyle w:val="Compact"/>
            </w:pPr>
            <w:r>
              <w:t xml:space="preserve">2</w:t>
            </w:r>
          </w:p>
        </w:tc>
        <w:tc>
          <w:tcPr/>
          <w:p>
            <w:pPr>
              <w:pStyle w:val="Compact"/>
            </w:pPr>
            <w:r>
              <w:t xml:space="preserve">0.364</w:t>
            </w:r>
          </w:p>
        </w:tc>
        <w:tc>
          <w:tcPr/>
          <w:p>
            <w:pPr>
              <w:pStyle w:val="Compact"/>
            </w:pPr>
            <w:r>
              <w:t xml:space="preserve">organ size, contact inhibition</w:t>
            </w:r>
          </w:p>
        </w:tc>
      </w:tr>
      <w:tr>
        <w:tc>
          <w:tcPr/>
          <w:p>
            <w:pPr>
              <w:pStyle w:val="Compact"/>
            </w:pPr>
            <w:r>
              <w:t xml:space="preserve">TGF-beta</w:t>
            </w:r>
          </w:p>
        </w:tc>
        <w:tc>
          <w:tcPr/>
          <w:p>
            <w:pPr>
              <w:pStyle w:val="Compact"/>
            </w:pPr>
            <w:r>
              <w:t xml:space="preserve">2</w:t>
            </w:r>
          </w:p>
        </w:tc>
        <w:tc>
          <w:tcPr/>
          <w:p>
            <w:pPr>
              <w:pStyle w:val="Compact"/>
            </w:pPr>
            <w:r>
              <w:t xml:space="preserve">0.364</w:t>
            </w:r>
          </w:p>
        </w:tc>
        <w:tc>
          <w:tcPr/>
          <w:p>
            <w:pPr>
              <w:pStyle w:val="Compact"/>
            </w:pPr>
            <w:r>
              <w:t xml:space="preserve">EMT, growth arrest</w:t>
            </w:r>
          </w:p>
        </w:tc>
      </w:tr>
      <w:tr>
        <w:tc>
          <w:tcPr/>
          <w:p>
            <w:pPr>
              <w:pStyle w:val="Compact"/>
            </w:pPr>
            <w:r>
              <w:t xml:space="preserve">JAK-STAT</w:t>
            </w:r>
          </w:p>
        </w:tc>
        <w:tc>
          <w:tcPr/>
          <w:p>
            <w:pPr>
              <w:pStyle w:val="Compact"/>
            </w:pPr>
            <w:r>
              <w:t xml:space="preserve">2</w:t>
            </w:r>
          </w:p>
        </w:tc>
        <w:tc>
          <w:tcPr/>
          <w:p>
            <w:pPr>
              <w:pStyle w:val="Compact"/>
            </w:pPr>
            <w:r>
              <w:t xml:space="preserve">0.333</w:t>
            </w:r>
          </w:p>
        </w:tc>
        <w:tc>
          <w:tcPr/>
          <w:p>
            <w:pPr>
              <w:pStyle w:val="Compact"/>
            </w:pPr>
            <w:r>
              <w:t xml:space="preserve">immune activation, differentiation</w:t>
            </w:r>
          </w:p>
        </w:tc>
      </w:tr>
      <w:tr>
        <w:tc>
          <w:tcPr/>
          <w:p>
            <w:pPr>
              <w:pStyle w:val="Compact"/>
            </w:pPr>
            <w:r>
              <w:t xml:space="preserve">ATR/CHK1</w:t>
            </w:r>
          </w:p>
        </w:tc>
        <w:tc>
          <w:tcPr/>
          <w:p>
            <w:pPr>
              <w:pStyle w:val="Compact"/>
            </w:pPr>
            <w:r>
              <w:t xml:space="preserve">2</w:t>
            </w:r>
          </w:p>
        </w:tc>
        <w:tc>
          <w:tcPr/>
          <w:p>
            <w:pPr>
              <w:pStyle w:val="Compact"/>
            </w:pPr>
            <w:r>
              <w:t xml:space="preserve">0.222</w:t>
            </w:r>
          </w:p>
        </w:tc>
        <w:tc>
          <w:tcPr/>
          <w:p>
            <w:pPr>
              <w:pStyle w:val="Compact"/>
            </w:pPr>
            <w:r>
              <w:t xml:space="preserve">replication checkpoint, fork restart</w:t>
            </w:r>
          </w:p>
        </w:tc>
      </w:tr>
      <w:tr>
        <w:tc>
          <w:tcPr/>
          <w:p>
            <w:pPr>
              <w:pStyle w:val="Compact"/>
            </w:pPr>
            <w:r>
              <w:t xml:space="preserve">PI3K/PTEN</w:t>
            </w:r>
          </w:p>
        </w:tc>
        <w:tc>
          <w:tcPr/>
          <w:p>
            <w:pPr>
              <w:pStyle w:val="Compact"/>
            </w:pPr>
            <w:r>
              <w:t xml:space="preserve">2</w:t>
            </w:r>
          </w:p>
        </w:tc>
        <w:tc>
          <w:tcPr/>
          <w:p>
            <w:pPr>
              <w:pStyle w:val="Compact"/>
            </w:pPr>
            <w:r>
              <w:t xml:space="preserve">0.500</w:t>
            </w:r>
          </w:p>
        </w:tc>
        <w:tc>
          <w:tcPr/>
          <w:p>
            <w:pPr>
              <w:pStyle w:val="Compact"/>
            </w:pPr>
            <w:r>
              <w:t xml:space="preserve">survival, metabolic commitment</w:t>
            </w:r>
          </w:p>
        </w:tc>
      </w:tr>
      <w:tr>
        <w:tc>
          <w:tcPr/>
          <w:p>
            <w:pPr>
              <w:pStyle w:val="Compact"/>
            </w:pPr>
            <w:r>
              <w:t xml:space="preserve">mTOR</w:t>
            </w:r>
          </w:p>
        </w:tc>
        <w:tc>
          <w:tcPr/>
          <w:p>
            <w:pPr>
              <w:pStyle w:val="Compact"/>
            </w:pPr>
            <w:r>
              <w:t xml:space="preserve">1</w:t>
            </w:r>
          </w:p>
        </w:tc>
        <w:tc>
          <w:tcPr/>
          <w:p>
            <w:pPr>
              <w:pStyle w:val="Compact"/>
            </w:pPr>
            <w:r>
              <w:t xml:space="preserve">0.200</w:t>
            </w:r>
          </w:p>
        </w:tc>
        <w:tc>
          <w:tcPr/>
          <w:p>
            <w:pPr>
              <w:pStyle w:val="Compact"/>
            </w:pPr>
            <w:r>
              <w:t xml:space="preserve">growth commitment</w:t>
            </w:r>
          </w:p>
        </w:tc>
      </w:tr>
      <w:tr>
        <w:tc>
          <w:tcPr/>
          <w:p>
            <w:pPr>
              <w:pStyle w:val="Compact"/>
            </w:pPr>
            <w:r>
              <w:t xml:space="preserve">AMPK</w:t>
            </w:r>
          </w:p>
        </w:tc>
        <w:tc>
          <w:tcPr/>
          <w:p>
            <w:pPr>
              <w:pStyle w:val="Compact"/>
            </w:pPr>
            <w:r>
              <w:t xml:space="preserve">1</w:t>
            </w:r>
          </w:p>
        </w:tc>
        <w:tc>
          <w:tcPr/>
          <w:p>
            <w:pPr>
              <w:pStyle w:val="Compact"/>
            </w:pPr>
            <w:r>
              <w:t xml:space="preserve">0.100</w:t>
            </w:r>
          </w:p>
        </w:tc>
        <w:tc>
          <w:tcPr/>
          <w:p>
            <w:pPr>
              <w:pStyle w:val="Compact"/>
            </w:pPr>
            <w:r>
              <w:t xml:space="preserve">metabolic switch</w:t>
            </w:r>
          </w:p>
        </w:tc>
      </w:tr>
      <w:tr>
        <w:tc>
          <w:tcPr/>
          <w:p>
            <w:pPr>
              <w:pStyle w:val="Compact"/>
            </w:pPr>
            <w:r>
              <w:t xml:space="preserve">Calcium</w:t>
            </w:r>
          </w:p>
        </w:tc>
        <w:tc>
          <w:tcPr/>
          <w:p>
            <w:pPr>
              <w:pStyle w:val="Compact"/>
            </w:pPr>
            <w:r>
              <w:t xml:space="preserve">1</w:t>
            </w:r>
          </w:p>
        </w:tc>
        <w:tc>
          <w:tcPr/>
          <w:p>
            <w:pPr>
              <w:pStyle w:val="Compact"/>
            </w:pPr>
            <w:r>
              <w:t xml:space="preserve">0.200</w:t>
            </w:r>
          </w:p>
        </w:tc>
        <w:tc>
          <w:tcPr/>
          <w:p>
            <w:pPr>
              <w:pStyle w:val="Compact"/>
            </w:pPr>
            <w:r>
              <w:t xml:space="preserve">NFAT activation</w:t>
            </w:r>
          </w:p>
        </w:tc>
      </w:tr>
      <w:tr>
        <w:tc>
          <w:tcPr/>
          <w:p>
            <w:pPr>
              <w:pStyle w:val="Compact"/>
            </w:pPr>
            <w:r>
              <w:t xml:space="preserve">Rho/ROCK</w:t>
            </w:r>
          </w:p>
        </w:tc>
        <w:tc>
          <w:tcPr/>
          <w:p>
            <w:pPr>
              <w:pStyle w:val="Compact"/>
            </w:pPr>
            <w:r>
              <w:t xml:space="preserve">1</w:t>
            </w:r>
          </w:p>
        </w:tc>
        <w:tc>
          <w:tcPr/>
          <w:p>
            <w:pPr>
              <w:pStyle w:val="Compact"/>
            </w:pPr>
            <w:r>
              <w:t xml:space="preserve">0.100</w:t>
            </w:r>
          </w:p>
        </w:tc>
        <w:tc>
          <w:tcPr/>
          <w:p>
            <w:pPr>
              <w:pStyle w:val="Compact"/>
            </w:pPr>
            <w:r>
              <w:t xml:space="preserve">cytoskeletal commitment</w:t>
            </w:r>
          </w:p>
        </w:tc>
      </w:tr>
      <w:tr>
        <w:tc>
          <w:tcPr/>
          <w:p>
            <w:pPr>
              <w:pStyle w:val="Compact"/>
            </w:pPr>
            <w:r>
              <w:t xml:space="preserve">Autophagy</w:t>
            </w:r>
          </w:p>
        </w:tc>
        <w:tc>
          <w:tcPr/>
          <w:p>
            <w:pPr>
              <w:pStyle w:val="Compact"/>
            </w:pPr>
            <w:r>
              <w:t xml:space="preserve">1</w:t>
            </w:r>
          </w:p>
        </w:tc>
        <w:tc>
          <w:tcPr/>
          <w:p>
            <w:pPr>
              <w:pStyle w:val="Compact"/>
            </w:pPr>
            <w:r>
              <w:t xml:space="preserve">0.111</w:t>
            </w:r>
          </w:p>
        </w:tc>
        <w:tc>
          <w:tcPr/>
          <w:p>
            <w:pPr>
              <w:pStyle w:val="Compact"/>
            </w:pPr>
            <w:r>
              <w:t xml:space="preserve">autophagic flux</w:t>
            </w:r>
          </w:p>
        </w:tc>
      </w:tr>
      <w:tr>
        <w:tc>
          <w:tcPr/>
          <w:p>
            <w:pPr>
              <w:pStyle w:val="Compact"/>
            </w:pPr>
            <w:r>
              <w:t xml:space="preserve">Circadian</w:t>
            </w:r>
          </w:p>
        </w:tc>
        <w:tc>
          <w:tcPr/>
          <w:p>
            <w:pPr>
              <w:pStyle w:val="Compact"/>
            </w:pPr>
            <w:r>
              <w:t xml:space="preserve">0</w:t>
            </w:r>
          </w:p>
        </w:tc>
        <w:tc>
          <w:tcPr/>
          <w:p>
            <w:pPr>
              <w:pStyle w:val="Compact"/>
            </w:pPr>
            <w:r>
              <w:t xml:space="preserve">0.000</w:t>
            </w:r>
          </w:p>
        </w:tc>
        <w:tc>
          <w:tcPr/>
          <w:p>
            <w:pPr>
              <w:pStyle w:val="Compact"/>
            </w:pPr>
            <w:r>
              <w:t xml:space="preserve">(reversible oscillation)</w:t>
            </w:r>
          </w:p>
        </w:tc>
      </w:tr>
      <w:tr>
        <w:tc>
          <w:tcPr/>
          <w:p>
            <w:pPr>
              <w:pStyle w:val="Compact"/>
            </w:pPr>
            <w:r>
              <w:t xml:space="preserve">NRF2</w:t>
            </w:r>
          </w:p>
        </w:tc>
        <w:tc>
          <w:tcPr/>
          <w:p>
            <w:pPr>
              <w:pStyle w:val="Compact"/>
            </w:pPr>
            <w:r>
              <w:t xml:space="preserve">0</w:t>
            </w:r>
          </w:p>
        </w:tc>
        <w:tc>
          <w:tcPr/>
          <w:p>
            <w:pPr>
              <w:pStyle w:val="Compact"/>
            </w:pPr>
            <w:r>
              <w:t xml:space="preserve">0.200</w:t>
            </w:r>
          </w:p>
        </w:tc>
        <w:tc>
          <w:tcPr/>
          <w:p>
            <w:pPr>
              <w:pStyle w:val="Compact"/>
            </w:pPr>
            <w:r>
              <w:t xml:space="preserve">(reversible stress response)</w:t>
            </w:r>
          </w:p>
        </w:tc>
      </w:tr>
      <w:tr>
        <w:tc>
          <w:tcPr/>
          <w:p>
            <w:pPr>
              <w:pStyle w:val="Compact"/>
            </w:pPr>
            <w:r>
              <w:t xml:space="preserve">SREBP</w:t>
            </w:r>
          </w:p>
        </w:tc>
        <w:tc>
          <w:tcPr/>
          <w:p>
            <w:pPr>
              <w:pStyle w:val="Compact"/>
            </w:pPr>
            <w:r>
              <w:t xml:space="preserve">0</w:t>
            </w:r>
          </w:p>
        </w:tc>
        <w:tc>
          <w:tcPr/>
          <w:p>
            <w:pPr>
              <w:pStyle w:val="Compact"/>
            </w:pPr>
            <w:r>
              <w:t xml:space="preserve">0.000</w:t>
            </w:r>
          </w:p>
        </w:tc>
        <w:tc>
          <w:tcPr/>
          <w:p>
            <w:pPr>
              <w:pStyle w:val="Compact"/>
            </w:pPr>
            <w:r>
              <w:t xml:space="preserve">(reversible lipid regulation)</w:t>
            </w:r>
          </w:p>
        </w:tc>
      </w:tr>
      <w:tr>
        <w:tc>
          <w:tcPr/>
          <w:p>
            <w:pPr>
              <w:pStyle w:val="Compact"/>
            </w:pPr>
            <w:r>
              <w:t xml:space="preserve">PPAR/LXR</w:t>
            </w:r>
          </w:p>
        </w:tc>
        <w:tc>
          <w:tcPr/>
          <w:p>
            <w:pPr>
              <w:pStyle w:val="Compact"/>
            </w:pPr>
            <w:r>
              <w:t xml:space="preserve">0</w:t>
            </w:r>
          </w:p>
        </w:tc>
        <w:tc>
          <w:tcPr/>
          <w:p>
            <w:pPr>
              <w:pStyle w:val="Compact"/>
            </w:pPr>
            <w:r>
              <w:t xml:space="preserve">0.000</w:t>
            </w:r>
          </w:p>
        </w:tc>
        <w:tc>
          <w:tcPr/>
          <w:p>
            <w:pPr>
              <w:pStyle w:val="Compact"/>
            </w:pPr>
            <w:r>
              <w:t xml:space="preserve">(reversible transcription)</w:t>
            </w:r>
          </w:p>
        </w:tc>
      </w:tr>
    </w:tbl>
    <w:p>
      <w:pPr>
        <w:pStyle w:val="BodyText"/>
      </w:pPr>
      <w:r>
        <w:t xml:space="preserve">IA predicts CGC fraction with Spearman rho = 0.83 (</w:t>
      </w:r>
      <w:r>
        <w:rPr>
          <w:i/>
          <w:iCs/>
        </w:rPr>
        <w:t xml:space="preserve">p</w:t>
      </w:r>
      <w:r>
        <w:t xml:space="preserve"> </w:t>
      </w:r>
      <w:r>
        <w:t xml:space="preserve">&lt; 0.001, N = 20). The underlying dose-response is sharp: modules with IA = 0 have mean CGC fraction 0.050, IA = 1 averages 0.142, IA = 2 averages 0.382, and IA = 3 averages 0.545. A binary split (IA &gt;= 2 vs IA &lt; 2) produces a mean CGC difference of 0.38 vs 0.08 (Fisher exact</w:t>
      </w:r>
      <w:r>
        <w:t xml:space="preserve"> </w:t>
      </w:r>
      <w:r>
        <w:rPr>
          <w:i/>
          <w:iCs/>
        </w:rPr>
        <w:t xml:space="preserve">p</w:t>
      </w:r>
      <w:r>
        <w:t xml:space="preserve"> </w:t>
      </w:r>
      <w:r>
        <w:t xml:space="preserve">= 0.0003).</w:t>
      </w:r>
    </w:p>
    <w:p>
      <w:pPr>
        <w:pStyle w:val="BodyText"/>
      </w:pPr>
      <w:r>
        <w:t xml:space="preserve">Authority alone (number of distinct biological outputs, including reversible ones) also predicts CGC fraction (rho = 0.752,</w:t>
      </w:r>
      <w:r>
        <w:t xml:space="preserve"> </w:t>
      </w:r>
      <w:r>
        <w:rPr>
          <w:i/>
          <w:iCs/>
        </w:rPr>
        <w:t xml:space="preserve">p</w:t>
      </w:r>
      <w:r>
        <w:t xml:space="preserve"> </w:t>
      </w:r>
      <w:r>
        <w:t xml:space="preserve">= 0.0001), but the irreversibility criterion adds substantial predictive power: adding a bottleneck metric (number of unique genes required for each irreversible output) improves the correlation to rho = 0.869.</w:t>
      </w:r>
    </w:p>
    <w:p>
      <w:pPr>
        <w:pStyle w:val="BodyText"/>
      </w:pPr>
      <w:r>
        <w:t xml:space="preserve">To assess robustness, I performed three sensitivity analyses (Table S8). Leave-one-module-out analysis yields rho in the range [0.644, 0.783] (no single module is indispensable). Single-module IA reclassification (shifting any one module’s IA by plus or minus 1) yields rho in [0.602, 0.744]; the worst case (PI3K/PTEN reclassified from IA=2 to IA=1) still produces rho = 0.602. Even simultaneously reclassifying three borderline modules (NF-kappaB 2 to 1, Calcium 1 to 0, NRF2 0 to 1) yields rho = 0.714. As an independent validation, an automated Gene Ontology-based proxy (counting irreversible-process annotations per module gene) correlates with manual IA at rho = 0.889 and independently predicts CGC fraction at rho = 0.632 (</w:t>
      </w:r>
      <w:r>
        <w:rPr>
          <w:i/>
          <w:iCs/>
        </w:rPr>
        <w:t xml:space="preserve">p</w:t>
      </w:r>
      <w:r>
        <w:t xml:space="preserve"> </w:t>
      </w:r>
      <w:r>
        <w:t xml:space="preserve">= 0.003).</w:t>
      </w:r>
    </w:p>
    <w:bookmarkEnd w:id="19"/>
    <w:bookmarkStart w:id="20" w:name="Xfc4be3ad94fb5c260c80a4acf112c0b49fd5fce"/>
    <w:p>
      <w:pPr>
        <w:pStyle w:val="Heading4"/>
      </w:pPr>
      <w:r>
        <w:t xml:space="preserve">Module activity eigenspace identifies novel cancer gene candidates</w:t>
      </w:r>
    </w:p>
    <w:p>
      <w:pPr>
        <w:pStyle w:val="FirstParagraph"/>
      </w:pPr>
      <w:r>
        <w:t xml:space="preserve">To ask whether the multivariate pattern of module expression across cell types contains cancer-relevant structure, I performed eigendecomposition on the 20-module x 154-cell-type expression matrix (HPA single-cell nCPM data). Kaiser criterion identifies 6 principal components explaining 67% of total variance: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PC</w:t>
            </w:r>
          </w:p>
        </w:tc>
        <w:tc>
          <w:tcPr/>
          <w:p>
            <w:pPr>
              <w:pStyle w:val="Compact"/>
            </w:pPr>
            <w:r>
              <w:t xml:space="preserve">Variance</w:t>
            </w:r>
          </w:p>
        </w:tc>
        <w:tc>
          <w:tcPr/>
          <w:p>
            <w:pPr>
              <w:pStyle w:val="Compact"/>
            </w:pPr>
            <w:r>
              <w:t xml:space="preserve">Top positive loadings</w:t>
            </w:r>
          </w:p>
        </w:tc>
        <w:tc>
          <w:tcPr/>
          <w:p>
            <w:pPr>
              <w:pStyle w:val="Compact"/>
            </w:pPr>
            <w:r>
              <w:t xml:space="preserve">Top negative loadings</w:t>
            </w:r>
          </w:p>
        </w:tc>
      </w:tr>
      <w:tr>
        <w:tc>
          <w:tcPr/>
          <w:p>
            <w:pPr>
              <w:pStyle w:val="Compact"/>
            </w:pPr>
            <w:r>
              <w:t xml:space="preserve">PC1</w:t>
            </w:r>
          </w:p>
        </w:tc>
        <w:tc>
          <w:tcPr/>
          <w:p>
            <w:pPr>
              <w:pStyle w:val="Compact"/>
            </w:pPr>
            <w:r>
              <w:t xml:space="preserve">25.2%</w:t>
            </w:r>
          </w:p>
        </w:tc>
        <w:tc>
          <w:tcPr/>
          <w:p>
            <w:pPr>
              <w:pStyle w:val="Compact"/>
            </w:pPr>
            <w:r>
              <w:t xml:space="preserve">ERK/MAPK, JAK-STAT, NRF2</w:t>
            </w:r>
          </w:p>
        </w:tc>
        <w:tc>
          <w:tcPr/>
          <w:p>
            <w:pPr>
              <w:pStyle w:val="Compact"/>
            </w:pPr>
            <w:r>
              <w:t xml:space="preserve">–</w:t>
            </w:r>
          </w:p>
        </w:tc>
      </w:tr>
      <w:tr>
        <w:tc>
          <w:tcPr/>
          <w:p>
            <w:pPr>
              <w:pStyle w:val="Compact"/>
            </w:pPr>
            <w:r>
              <w:t xml:space="preserve">PC2</w:t>
            </w:r>
          </w:p>
        </w:tc>
        <w:tc>
          <w:tcPr/>
          <w:p>
            <w:pPr>
              <w:pStyle w:val="Compact"/>
            </w:pPr>
            <w:r>
              <w:t xml:space="preserve">13.2%</w:t>
            </w:r>
          </w:p>
        </w:tc>
        <w:tc>
          <w:tcPr/>
          <w:p>
            <w:pPr>
              <w:pStyle w:val="Compact"/>
            </w:pPr>
            <w:r>
              <w:t xml:space="preserve">Rho/ROCK</w:t>
            </w:r>
          </w:p>
        </w:tc>
        <w:tc>
          <w:tcPr/>
          <w:p>
            <w:pPr>
              <w:pStyle w:val="Compact"/>
            </w:pPr>
            <w:r>
              <w:t xml:space="preserve">TGF-beta, AMPK</w:t>
            </w:r>
          </w:p>
        </w:tc>
      </w:tr>
      <w:tr>
        <w:tc>
          <w:tcPr/>
          <w:p>
            <w:pPr>
              <w:pStyle w:val="Compact"/>
            </w:pPr>
            <w:r>
              <w:t xml:space="preserve">PC3</w:t>
            </w:r>
          </w:p>
        </w:tc>
        <w:tc>
          <w:tcPr/>
          <w:p>
            <w:pPr>
              <w:pStyle w:val="Compact"/>
            </w:pPr>
            <w:r>
              <w:t xml:space="preserve">11.8%</w:t>
            </w:r>
          </w:p>
        </w:tc>
        <w:tc>
          <w:tcPr/>
          <w:p>
            <w:pPr>
              <w:pStyle w:val="Compact"/>
            </w:pPr>
            <w:r>
              <w:t xml:space="preserve">ATR/CHK1, Cell Cycle, p53</w:t>
            </w:r>
          </w:p>
        </w:tc>
        <w:tc>
          <w:tcPr/>
          <w:p>
            <w:pPr>
              <w:pStyle w:val="Compact"/>
            </w:pPr>
            <w:r>
              <w:t xml:space="preserve">–</w:t>
            </w:r>
          </w:p>
        </w:tc>
      </w:tr>
      <w:tr>
        <w:tc>
          <w:tcPr/>
          <w:p>
            <w:pPr>
              <w:pStyle w:val="Compact"/>
            </w:pPr>
            <w:r>
              <w:t xml:space="preserve">PC4</w:t>
            </w:r>
          </w:p>
        </w:tc>
        <w:tc>
          <w:tcPr/>
          <w:p>
            <w:pPr>
              <w:pStyle w:val="Compact"/>
            </w:pPr>
            <w:r>
              <w:t xml:space="preserve">6.6%</w:t>
            </w:r>
          </w:p>
        </w:tc>
        <w:tc>
          <w:tcPr/>
          <w:p>
            <w:pPr>
              <w:pStyle w:val="Compact"/>
            </w:pPr>
            <w:r>
              <w:t xml:space="preserve">SREBP, Calcium</w:t>
            </w:r>
          </w:p>
        </w:tc>
        <w:tc>
          <w:tcPr/>
          <w:p>
            <w:pPr>
              <w:pStyle w:val="Compact"/>
            </w:pPr>
            <w:r>
              <w:t xml:space="preserve">ATR/CHK1</w:t>
            </w:r>
          </w:p>
        </w:tc>
      </w:tr>
      <w:tr>
        <w:tc>
          <w:tcPr/>
          <w:p>
            <w:pPr>
              <w:pStyle w:val="Compact"/>
            </w:pPr>
            <w:r>
              <w:t xml:space="preserve">PC5</w:t>
            </w:r>
          </w:p>
        </w:tc>
        <w:tc>
          <w:tcPr/>
          <w:p>
            <w:pPr>
              <w:pStyle w:val="Compact"/>
            </w:pPr>
            <w:r>
              <w:t xml:space="preserve">5.5%</w:t>
            </w:r>
          </w:p>
        </w:tc>
        <w:tc>
          <w:tcPr/>
          <w:p>
            <w:pPr>
              <w:pStyle w:val="Compact"/>
            </w:pPr>
            <w:r>
              <w:t xml:space="preserve">Circadian</w:t>
            </w:r>
          </w:p>
        </w:tc>
        <w:tc>
          <w:tcPr/>
          <w:p>
            <w:pPr>
              <w:pStyle w:val="Compact"/>
            </w:pPr>
            <w:r>
              <w:t xml:space="preserve">PI3K/PTEN, Cell Cycle</w:t>
            </w:r>
          </w:p>
        </w:tc>
      </w:tr>
      <w:tr>
        <w:tc>
          <w:tcPr/>
          <w:p>
            <w:pPr>
              <w:pStyle w:val="Compact"/>
            </w:pPr>
            <w:r>
              <w:t xml:space="preserve">PC6</w:t>
            </w:r>
          </w:p>
        </w:tc>
        <w:tc>
          <w:tcPr/>
          <w:p>
            <w:pPr>
              <w:pStyle w:val="Compact"/>
            </w:pPr>
            <w:r>
              <w:t xml:space="preserve">5.0%</w:t>
            </w:r>
          </w:p>
        </w:tc>
        <w:tc>
          <w:tcPr/>
          <w:p>
            <w:pPr>
              <w:pStyle w:val="Compact"/>
            </w:pPr>
            <w:r>
              <w:t xml:space="preserve">PPAR/LXR</w:t>
            </w:r>
          </w:p>
        </w:tc>
        <w:tc>
          <w:tcPr/>
          <w:p>
            <w:pPr>
              <w:pStyle w:val="Compact"/>
            </w:pPr>
            <w:r>
              <w:t xml:space="preserve">Autophagy</w:t>
            </w:r>
          </w:p>
        </w:tc>
      </w:tr>
    </w:tbl>
    <w:p>
      <w:pPr>
        <w:pStyle w:val="BodyText"/>
      </w:pPr>
      <w:r>
        <w:t xml:space="preserve">PC1 captures general signaling amplitude (cell types with high expression of all modules). PC2 separates mechanosensing (Rho/ROCK) from growth-suppressive axes (TGF-beta, AMPK). PC3 specifically captures the DNA damage / cell cycle checkpoint axis.</w:t>
      </w:r>
    </w:p>
    <w:p>
      <w:pPr>
        <w:pStyle w:val="BodyText"/>
      </w:pPr>
      <w:r>
        <w:t xml:space="preserve">I projected each of the 76 NFL genes into this 6D module activity eigenspace based on its module membership and the module’s expression pattern. CGC genes occupy a non-random subregion of eigenspace (permutation test:</w:t>
      </w:r>
      <w:r>
        <w:t xml:space="preserve"> </w:t>
      </w:r>
      <w:r>
        <w:rPr>
          <w:i/>
          <w:iCs/>
        </w:rPr>
        <w:t xml:space="preserve">p</w:t>
      </w:r>
      <w:r>
        <w:t xml:space="preserve"> </w:t>
      </w:r>
      <w:r>
        <w:t xml:space="preserve">= 0.0001, 10,000 permutations). Using the eigenspace coordinates of known CGC genes as a reference, I identified the 20 non-CGC NFL genes closest to the CGC centroid in eigenspace. Of these 20 candidates, 13 (65%) are confirmed as cancer-associated genes in the IntOGen database (Bailey et al., 2018), representing a 43-fold enrichment over background expectation (IntOGen enrichment</w:t>
      </w:r>
      <w:r>
        <w:t xml:space="preserve"> </w:t>
      </w:r>
      <w:r>
        <w:rPr>
          <w:i/>
          <w:iCs/>
        </w:rPr>
        <w:t xml:space="preserve">p</w:t>
      </w:r>
      <w:r>
        <w:t xml:space="preserve"> </w:t>
      </w:r>
      <w:r>
        <w:t xml:space="preserve">&lt; 10</w:t>
      </w:r>
      <w:r>
        <w:rPr>
          <w:vertAlign w:val="superscript"/>
        </w:rPr>
        <w:t xml:space="preserve">-6</w:t>
      </w:r>
      <w:r>
        <w:t xml:space="preserve">). The 7 unvalidated candidates represent predictions for future experimental testing.</w:t>
      </w:r>
    </w:p>
    <w:p>
      <w:r>
        <w:pict>
          <v:rect style="width:0;height:1.5pt" o:hralign="center" o:hrstd="t" o:hr="t"/>
        </w:pict>
      </w:r>
    </w:p>
    <w:bookmarkEnd w:id="20"/>
    <w:bookmarkEnd w:id="21"/>
    <w:bookmarkEnd w:id="22"/>
    <w:bookmarkStart w:id="28" w:name="discussion"/>
    <w:p>
      <w:pPr>
        <w:pStyle w:val="Heading2"/>
      </w:pPr>
      <w:r>
        <w:t xml:space="preserve">Discussion</w:t>
      </w:r>
    </w:p>
    <w:bookmarkStart w:id="23" w:name="nfl-membership-as-a-cancer-predictor"/>
    <w:p>
      <w:pPr>
        <w:pStyle w:val="Heading3"/>
      </w:pPr>
      <w:r>
        <w:t xml:space="preserve">NFL membership as a cancer predictor</w:t>
      </w:r>
    </w:p>
    <w:p>
      <w:pPr>
        <w:pStyle w:val="FirstParagraph"/>
      </w:pPr>
      <w:r>
        <w:t xml:space="preserve">The central finding of this study is that negative feedback loop membership predicts cancer gene status with an odds ratio of 59 within the same signaling pathways. This result is robust across all three nested validity gates, with increasing effect size at each level of specificity (12.8x, 28.1x, 59x). Among published network-topology-based cancer predictors, this appears to be among the highest reported enrichment ratios for a single topological feature.</w:t>
      </w:r>
    </w:p>
    <w:p>
      <w:pPr>
        <w:pStyle w:val="BodyText"/>
      </w:pPr>
      <w:r>
        <w:t xml:space="preserve">The convergence of enrichment estimates between Paper 1 (temporal classification, 12.1x) and Paper 2 (topological extraction, 12.8x) — two methods differing in logic, gene set, and classification criteria — strengthens the claim that oscillatory architecture is fundamentally linked to cancer vulnerability. This convergence is not trivial: the two approaches share only 24 of their combined 82 CGC genes, yet arrive at virtually identical fold-enrichment estimates. Such convergence from independent methods is a gold standard for validation in computational biology (Vogelstein et al., 2013).</w:t>
      </w:r>
    </w:p>
    <w:p>
      <w:pPr>
        <w:pStyle w:val="BodyText"/>
      </w:pPr>
      <w:r>
        <w:t xml:space="preserve">The enrichment likely reflects a fundamental relationship between oscillatory dynamics and cellular decision-making: genes that participate in feedback loops enabling pulsatile signaling are the same genes whose disruption converts oscillatory to sustained signaling — the hallmark of oncogenic transformation.</w:t>
      </w:r>
    </w:p>
    <w:bookmarkEnd w:id="23"/>
    <w:bookmarkStart w:id="24" w:name="Xcc683dd22e843f224284aa09403a8d9b62d9191"/>
    <w:p>
      <w:pPr>
        <w:pStyle w:val="Heading3"/>
      </w:pPr>
      <w:r>
        <w:t xml:space="preserve">Irreversible Authority explains the vulnerability gradient</w:t>
      </w:r>
    </w:p>
    <w:p>
      <w:pPr>
        <w:pStyle w:val="FirstParagraph"/>
      </w:pPr>
      <w:r>
        <w:t xml:space="preserve">Part 1 establishes that NFL membership matters; Part 2 explains why some NFL modules matter more. The IA metric explains 69% of the variance (rho^2 = 0.69) in CGC fraction across 20 modules. The biological logic is straightforward: modules that control irreversible cell-fate decisions (apoptosis, terminal differentiation, DNA damage checkpoint commitment) create one-way gates in the cellular state space. Cancer must breach these gates to achieve hallmark capabilities such as resistance to cell death and replicative immortality (Hanahan, 2022). Modules controlling only reversible outcomes (circadian rhythm, metabolic switching) can be perturbed transiently without irreversible phenotypic consequences.</w:t>
      </w:r>
    </w:p>
    <w:p>
      <w:pPr>
        <w:pStyle w:val="BodyText"/>
      </w:pPr>
      <w:r>
        <w:t xml:space="preserve">The IA framework also explains apparent outliers. The p53 module has the highest IA (3) and the highest CGC fraction (72.7%) despite not being the most highly expressed module. Conversely, the Circadian module is abundantly expressed but has IA = 0 and CGC fraction = 0%. Expression level is irrelevant (rho = 0.03); what matters is the irreversibility of the decisions the module controls.</w:t>
      </w:r>
    </w:p>
    <w:p>
      <w:pPr>
        <w:pStyle w:val="BodyText"/>
      </w:pPr>
      <w:r>
        <w:t xml:space="preserve">Together, the two levels form a hierarchical model: NFL topology is the first filter (is this gene in a feedback loop?), and IA is the second filter (does this loop control irreversible outcomes?). Genes passing both filters are the most likely cancer drivers.</w:t>
      </w:r>
    </w:p>
    <w:bookmarkEnd w:id="24"/>
    <w:bookmarkStart w:id="25" w:name="considered-alternatives"/>
    <w:p>
      <w:pPr>
        <w:pStyle w:val="Heading3"/>
      </w:pPr>
      <w:r>
        <w:t xml:space="preserve">Considered alternatives</w:t>
      </w:r>
    </w:p>
    <w:p>
      <w:pPr>
        <w:pStyle w:val="FirstParagraph"/>
      </w:pPr>
      <w:r>
        <w:t xml:space="preserve">Three alternative hypotheses were tested and rejected or found insufficient:</w:t>
      </w:r>
    </w:p>
    <w:p>
      <w:pPr>
        <w:pStyle w:val="BodyText"/>
      </w:pPr>
      <w:r>
        <w:rPr>
          <w:b/>
          <w:bCs/>
        </w:rPr>
        <w:t xml:space="preserve">Maintenance cost.</w:t>
      </w:r>
      <w:r>
        <w:t xml:space="preserve"> </w:t>
      </w:r>
      <w:r>
        <w:t xml:space="preserve">If metabolically expensive modules are more fragile, expression level should predict CGC fraction. Spearman rho = 0.03 (</w:t>
      </w:r>
      <w:r>
        <w:rPr>
          <w:i/>
          <w:iCs/>
        </w:rPr>
        <w:t xml:space="preserve">p</w:t>
      </w:r>
      <w:r>
        <w:t xml:space="preserve"> </w:t>
      </w:r>
      <w:r>
        <w:t xml:space="preserve">= 0.96). Expression is unrelated to cancer vulnerability.</w:t>
      </w:r>
      <w:r>
        <w:t xml:space="preserve"> </w:t>
      </w:r>
      <w:r>
        <w:rPr>
          <w:b/>
          <w:bCs/>
        </w:rPr>
        <w:t xml:space="preserve">Rejected.</w:t>
      </w:r>
    </w:p>
    <w:p>
      <w:pPr>
        <w:pStyle w:val="BodyText"/>
      </w:pPr>
      <w:r>
        <w:rPr>
          <w:b/>
          <w:bCs/>
        </w:rPr>
        <w:t xml:space="preserve">Convergence (hub degree).</w:t>
      </w:r>
      <w:r>
        <w:t xml:space="preserve"> </w:t>
      </w:r>
      <w:r>
        <w:t xml:space="preserve">If modules receiving more inputs are more vulnerable, convergence should predict CGC fraction. Partial rho = 0.25 (</w:t>
      </w:r>
      <w:r>
        <w:rPr>
          <w:i/>
          <w:iCs/>
        </w:rPr>
        <w:t xml:space="preserve">p</w:t>
      </w:r>
      <w:r>
        <w:t xml:space="preserve"> </w:t>
      </w:r>
      <w:r>
        <w:t xml:space="preserve">= 0.4) after controlling for expression. Hub degree provides modest but insufficient prediction.</w:t>
      </w:r>
      <w:r>
        <w:t xml:space="preserve"> </w:t>
      </w:r>
      <w:r>
        <w:rPr>
          <w:b/>
          <w:bCs/>
        </w:rPr>
        <w:t xml:space="preserve">Insufficient.</w:t>
      </w:r>
    </w:p>
    <w:p>
      <w:pPr>
        <w:pStyle w:val="BodyText"/>
      </w:pPr>
      <w:r>
        <w:rPr>
          <w:b/>
          <w:bCs/>
        </w:rPr>
        <w:t xml:space="preserve">Mutation trajectory ordering.</w:t>
      </w:r>
      <w:r>
        <w:t xml:space="preserve"> </w:t>
      </w:r>
      <w:r>
        <w:t xml:space="preserve">If cancer mutations follow a temporal sequence disrupting high-IA modules first, mutation order should correlate with IA rank. Empirical analysis shows an ascending pattern (low IA first, high IA later) — the inverse of the naive prediction. Cancer breaks accelerator modules first and checkpoint modules later, a sequential bypass strategy rather than a top-down cascade. While biologically interpretable, this contradicts the initial hypothesis.</w:t>
      </w:r>
      <w:r>
        <w:t xml:space="preserve"> </w:t>
      </w:r>
      <w:r>
        <w:rPr>
          <w:b/>
          <w:bCs/>
        </w:rPr>
        <w:t xml:space="preserve">Inverted.</w:t>
      </w:r>
    </w:p>
    <w:bookmarkEnd w:id="25"/>
    <w:bookmarkStart w:id="26" w:name="limitations"/>
    <w:p>
      <w:pPr>
        <w:pStyle w:val="Heading3"/>
      </w:pPr>
      <w:r>
        <w:t xml:space="preserve">Limitations</w:t>
      </w:r>
    </w:p>
    <w:p>
      <w:pPr>
        <w:pStyle w:val="FirstParagraph"/>
      </w:pPr>
      <w:r>
        <w:t xml:space="preserve">Several limitations should be acknowledged. First, the NFL extraction pipeline relies on KEGG pathway annotations, which are manually curated and incomplete. Approximately 20% of extracted motifs are artifacts (inverted edges), though this does not affect the enrichment statistics since the artifacts are distributed uniformly between CGC and non-CGC genes. Second, the IA metric is assigned manually based on pathway biology knowledge; while it does not use cancer gene databases, it draws on biological knowledge that is not fully independent of cancer research. The GO-based automated proxy (rho = 0.632) provides partial but not complete corroboration; future work should develop fully automated IA assignment from pathway ontologies. Third, the eigenspace analysis uses bulk expression data aggregated by cell type, which may obscure single-cell heterogeneity in module co-variation. Fourth, the evolutionary analysis (N = 14 loops with A values) has limited statistical power, and the significance of the age-asymmetry correlation depends on the removal of a single outlier (NRF2/KEAP1). Fifth, tissue-specific structure of the module activity eigenspace, which may modulate vulnerability in a tissue-dependent manner, is examined in a companion study.</w:t>
      </w:r>
    </w:p>
    <w:bookmarkEnd w:id="26"/>
    <w:bookmarkStart w:id="27" w:name="outlook"/>
    <w:p>
      <w:pPr>
        <w:pStyle w:val="Heading3"/>
      </w:pPr>
      <w:r>
        <w:t xml:space="preserve">Outlook</w:t>
      </w:r>
    </w:p>
    <w:p>
      <w:pPr>
        <w:pStyle w:val="FirstParagraph"/>
      </w:pPr>
      <w:r>
        <w:t xml:space="preserve">The two-level architecture of cancer vulnerability (NFL membership + Irreversible Authority) suggests several testable predictions. First, the 7 unvalidated eigenspace cancer gene candidates (non-CGC genes in the CGC-proximal eigenspace region) represent specific predictions for cancer driver discovery. Second, perturbation of high-IA modules (p53, Wnt, Notch) should produce more irreversible phenotypic consequences than perturbation of low-IA modules (Circadian, SREBP), testable by CRISPR perturbation screens with longitudinal single-cell readouts. Third, the IA metric predicts that therapeutic strategies restoring irreversible checkpoints (e.g., MDM2 inhibitors restoring p53 apoptotic authority) should be more effective than strategies targeting reversible signaling parameters. These predictions are experimentally testable with existing tools.</w:t>
      </w:r>
    </w:p>
    <w:p>
      <w:r>
        <w:pict>
          <v:rect style="width:0;height:1.5pt" o:hralign="center" o:hrstd="t" o:hr="t"/>
        </w:pict>
      </w:r>
    </w:p>
    <w:bookmarkEnd w:id="27"/>
    <w:bookmarkEnd w:id="28"/>
    <w:bookmarkStart w:id="38" w:name="methods"/>
    <w:p>
      <w:pPr>
        <w:pStyle w:val="Heading2"/>
      </w:pPr>
      <w:r>
        <w:t xml:space="preserve">Methods</w:t>
      </w:r>
    </w:p>
    <w:bookmarkStart w:id="29" w:name="Xa7060eb4e0cb657514729fcf4a61d6db5c062f6"/>
    <w:p>
      <w:pPr>
        <w:pStyle w:val="Heading3"/>
      </w:pPr>
      <w:r>
        <w:t xml:space="preserve">KEGG pathway extraction and NFL identification</w:t>
      </w:r>
    </w:p>
    <w:p>
      <w:pPr>
        <w:pStyle w:val="FirstParagraph"/>
      </w:pPr>
      <w:r>
        <w:t xml:space="preserve">159 KEGG signaling pathway KGML files were downloaded via the KEGG API (Kanehisa et al., 2023). Each KGML file was parsed into a signed directed graph using custom Python scripts, with edge signs assigned as +1 (activation, phosphorylation, expression) or -1 (inhibition, dephosphorylation, ubiquitination) based on KEGG relation subtypes. Compound-mediated edges were expanded to direct gene-gene relationships.</w:t>
      </w:r>
    </w:p>
    <w:p>
      <w:pPr>
        <w:pStyle w:val="BodyText"/>
      </w:pPr>
      <w:r>
        <w:t xml:space="preserve">NFL motifs were identified using depth-limited depth-first search (max depth = 3) seeded from 43 genes comprising 22 literature-curated core oscillatory feedback loops (Table S1). A cycle was classified as an NFL if the product of edge signs was -1. To prevent combinatorial explosion (full cycle enumeration was killed by OOM after 9 minutes), the ego-centric DFS approach was used: for each seed gene, enumerate all return paths of length 2–3 in the local neighborhood.</w:t>
      </w:r>
    </w:p>
    <w:bookmarkEnd w:id="29"/>
    <w:bookmarkStart w:id="30" w:name="alias-resolution-and-deduplication"/>
    <w:p>
      <w:pPr>
        <w:pStyle w:val="Heading3"/>
      </w:pPr>
      <w:r>
        <w:t xml:space="preserve">Alias resolution and deduplication</w:t>
      </w:r>
    </w:p>
    <w:p>
      <w:pPr>
        <w:pStyle w:val="FirstParagraph"/>
      </w:pPr>
      <w:r>
        <w:t xml:space="preserve">KEGG uses non-standard gene symbols. A manually curated alias map (37 entries) resolved KEGG symbols to HGNC standard nomenclature (e.g., AISIMD to SOCS3, IMD31A to STAT3, DAKAR to CDK4). After alias resolution, exact duplicate motifs (identical gene sets and edge signs) were removed. Remaining motifs were clustered using pairwise Jaccard similarity on gene sets, with a merging threshold of J &gt; 0.5 for module assignment.</w:t>
      </w:r>
    </w:p>
    <w:bookmarkEnd w:id="30"/>
    <w:bookmarkStart w:id="31" w:name="cancer-gene-census-enrichment"/>
    <w:p>
      <w:pPr>
        <w:pStyle w:val="Heading3"/>
      </w:pPr>
      <w:r>
        <w:t xml:space="preserve">Cancer Gene Census enrichment</w:t>
      </w:r>
    </w:p>
    <w:p>
      <w:pPr>
        <w:pStyle w:val="FirstParagraph"/>
      </w:pPr>
      <w:r>
        <w:t xml:space="preserve">The COSMIC Cancer Gene Census v103 (740 genes, downloaded April 2026) was used as the gold-standard cancer gene reference (Sondka et al., 2018; Forbes et al., 2017). The complete KEGG signaling gene list (16,760 unique genes) was assembled from all 159 pathway KGML files. Three nested enrichment tests were computed as validity gates of increasing specificity:</w:t>
      </w:r>
      <w:r>
        <w:t xml:space="preserve"> </w:t>
      </w:r>
      <w:r>
        <w:t xml:space="preserve">- Gate 1: Hypergeometric test, NFL genes vs genome (20,000 protein-coding genes)</w:t>
      </w:r>
      <w:r>
        <w:t xml:space="preserve"> </w:t>
      </w:r>
      <w:r>
        <w:t xml:space="preserve">- Gate 2: Hypergeometric test, NFL genes vs KEGG signaling genes</w:t>
      </w:r>
      <w:r>
        <w:t xml:space="preserve"> </w:t>
      </w:r>
      <w:r>
        <w:t xml:space="preserve">- Gate 3: Fisher exact test, NFL genes vs non-NFL genes within KEGG signaling pathways</w:t>
      </w:r>
    </w:p>
    <w:p>
      <w:pPr>
        <w:pStyle w:val="BodyText"/>
      </w:pPr>
      <w:r>
        <w:t xml:space="preserve">All tests used two-sided</w:t>
      </w:r>
      <w:r>
        <w:t xml:space="preserve"> </w:t>
      </w:r>
      <w:r>
        <w:rPr>
          <w:i/>
          <w:iCs/>
        </w:rPr>
        <w:t xml:space="preserve">p</w:t>
      </w:r>
      <w:r>
        <w:t xml:space="preserve">-values. An initial analysis using an incomplete CGC list (534 genes) yielded inflated enrichment (OR = 260); all results reported here use the complete COSMIC CGC v103 (740 genes).</w:t>
      </w:r>
    </w:p>
    <w:bookmarkEnd w:id="31"/>
    <w:bookmarkStart w:id="32" w:name="community-detection"/>
    <w:p>
      <w:pPr>
        <w:pStyle w:val="Heading3"/>
      </w:pPr>
      <w:r>
        <w:t xml:space="preserve">Community detection</w:t>
      </w:r>
    </w:p>
    <w:p>
      <w:pPr>
        <w:pStyle w:val="FirstParagraph"/>
      </w:pPr>
      <w:r>
        <w:t xml:space="preserve">An undirected weighted network was constructed where nodes represent 128 unique NFL motifs and edges connect motifs sharing at least one gene, weighted by Jaccard similarity coefficient. Louvain community detection (Blondel et al., 2008) was performed at resolution = 1.0. Modularity Q and Adjusted Rand Index (Hubert and Arabie, 1985; comparing detected communities to KEGG pathway annotations) were computed. Sensitivity to resolution parameter was assessed at resolutions 0.5, 1.0, and 1.5.</w:t>
      </w:r>
    </w:p>
    <w:bookmarkEnd w:id="32"/>
    <w:bookmarkStart w:id="33" w:name="evolutionary-analysis"/>
    <w:p>
      <w:pPr>
        <w:pStyle w:val="Heading3"/>
      </w:pPr>
      <w:r>
        <w:t xml:space="preserve">Evolutionary analysis</w:t>
      </w:r>
    </w:p>
    <w:p>
      <w:pPr>
        <w:pStyle w:val="FirstParagraph"/>
      </w:pPr>
      <w:r>
        <w:t xml:space="preserve">Ortholog mapping for the 43 NFL core genes was performed using Ensembl Compara (release 111) across 15 species:</w:t>
      </w:r>
      <w:r>
        <w:t xml:space="preserve"> </w:t>
      </w:r>
      <w:r>
        <w:rPr>
          <w:i/>
          <w:iCs/>
        </w:rPr>
        <w:t xml:space="preserve">M. musculus</w:t>
      </w:r>
      <w:r>
        <w:t xml:space="preserve">,</w:t>
      </w:r>
      <w:r>
        <w:t xml:space="preserve"> </w:t>
      </w:r>
      <w:r>
        <w:rPr>
          <w:i/>
          <w:iCs/>
        </w:rPr>
        <w:t xml:space="preserve">R. norvegicus</w:t>
      </w:r>
      <w:r>
        <w:t xml:space="preserve">,</w:t>
      </w:r>
      <w:r>
        <w:t xml:space="preserve"> </w:t>
      </w:r>
      <w:r>
        <w:rPr>
          <w:i/>
          <w:iCs/>
        </w:rPr>
        <w:t xml:space="preserve">C. l. familiaris</w:t>
      </w:r>
      <w:r>
        <w:t xml:space="preserve">,</w:t>
      </w:r>
      <w:r>
        <w:t xml:space="preserve"> </w:t>
      </w:r>
      <w:r>
        <w:rPr>
          <w:i/>
          <w:iCs/>
        </w:rPr>
        <w:t xml:space="preserve">G. gallus</w:t>
      </w:r>
      <w:r>
        <w:t xml:space="preserve">,</w:t>
      </w:r>
      <w:r>
        <w:t xml:space="preserve"> </w:t>
      </w:r>
      <w:r>
        <w:rPr>
          <w:i/>
          <w:iCs/>
        </w:rPr>
        <w:t xml:space="preserve">X. tropicalis</w:t>
      </w:r>
      <w:r>
        <w:t xml:space="preserve">,</w:t>
      </w:r>
      <w:r>
        <w:t xml:space="preserve"> </w:t>
      </w:r>
      <w:r>
        <w:rPr>
          <w:i/>
          <w:iCs/>
        </w:rPr>
        <w:t xml:space="preserve">D. rerio</w:t>
      </w:r>
      <w:r>
        <w:t xml:space="preserve">,</w:t>
      </w:r>
      <w:r>
        <w:t xml:space="preserve"> </w:t>
      </w:r>
      <w:r>
        <w:rPr>
          <w:i/>
          <w:iCs/>
        </w:rPr>
        <w:t xml:space="preserve">C. intestinalis</w:t>
      </w:r>
      <w:r>
        <w:t xml:space="preserve">,</w:t>
      </w:r>
      <w:r>
        <w:t xml:space="preserve"> </w:t>
      </w:r>
      <w:r>
        <w:rPr>
          <w:i/>
          <w:iCs/>
        </w:rPr>
        <w:t xml:space="preserve">S. purpuratus</w:t>
      </w:r>
      <w:r>
        <w:t xml:space="preserve">,</w:t>
      </w:r>
      <w:r>
        <w:t xml:space="preserve"> </w:t>
      </w:r>
      <w:r>
        <w:rPr>
          <w:i/>
          <w:iCs/>
        </w:rPr>
        <w:t xml:space="preserve">D. melanogaster</w:t>
      </w:r>
      <w:r>
        <w:t xml:space="preserve">,</w:t>
      </w:r>
      <w:r>
        <w:t xml:space="preserve"> </w:t>
      </w:r>
      <w:r>
        <w:rPr>
          <w:i/>
          <w:iCs/>
        </w:rPr>
        <w:t xml:space="preserve">C. elegans</w:t>
      </w:r>
      <w:r>
        <w:t xml:space="preserve">,</w:t>
      </w:r>
      <w:r>
        <w:t xml:space="preserve"> </w:t>
      </w:r>
      <w:r>
        <w:rPr>
          <w:i/>
          <w:iCs/>
        </w:rPr>
        <w:t xml:space="preserve">N. vectensis</w:t>
      </w:r>
      <w:r>
        <w:t xml:space="preserve">,</w:t>
      </w:r>
      <w:r>
        <w:t xml:space="preserve"> </w:t>
      </w:r>
      <w:r>
        <w:rPr>
          <w:i/>
          <w:iCs/>
        </w:rPr>
        <w:t xml:space="preserve">S. cerevisiae</w:t>
      </w:r>
      <w:r>
        <w:t xml:space="preserve">,</w:t>
      </w:r>
      <w:r>
        <w:t xml:space="preserve"> </w:t>
      </w:r>
      <w:r>
        <w:rPr>
          <w:i/>
          <w:iCs/>
        </w:rPr>
        <w:t xml:space="preserve">S. pombe</w:t>
      </w:r>
      <w:r>
        <w:t xml:space="preserve">,</w:t>
      </w:r>
      <w:r>
        <w:t xml:space="preserve"> </w:t>
      </w:r>
      <w:r>
        <w:rPr>
          <w:i/>
          <w:iCs/>
        </w:rPr>
        <w:t xml:space="preserve">A. thaliana</w:t>
      </w:r>
      <w:r>
        <w:t xml:space="preserve">,</w:t>
      </w:r>
      <w:r>
        <w:t xml:space="preserve"> </w:t>
      </w:r>
      <w:r>
        <w:rPr>
          <w:i/>
          <w:iCs/>
        </w:rPr>
        <w:t xml:space="preserve">D. discoideum</w:t>
      </w:r>
      <w:r>
        <w:t xml:space="preserve">. Loop conservation required both activator and inhibitor genes to have one-to-one orthologs. Loop age was estimated from the most distant species with confirmed loop conservation, using divergence times from TimeTree (Kumar et al., 2022).</w:t>
      </w:r>
    </w:p>
    <w:p>
      <w:pPr>
        <w:pStyle w:val="BodyText"/>
      </w:pPr>
      <w:r>
        <w:t xml:space="preserve">Waveform asymmetry values (A = tau_rise / T) were taken from Paper 1 (Spiro, 2026) for 14 loops with published or computationally estimated oscillation parameters. Spearman rank correlation between loop age and A was computed with and without NRF2/KEAP1. Bootstrap 95% confidence intervals (10,000 resamples) were computed for both cases. Leave-one-out sensitivity was performed for all 14 loops.</w:t>
      </w:r>
    </w:p>
    <w:bookmarkEnd w:id="33"/>
    <w:bookmarkStart w:id="34" w:name="irreversible-authority-metric"/>
    <w:p>
      <w:pPr>
        <w:pStyle w:val="Heading3"/>
      </w:pPr>
      <w:r>
        <w:t xml:space="preserve">Irreversible Authority metric</w:t>
      </w:r>
    </w:p>
    <w:p>
      <w:pPr>
        <w:pStyle w:val="FirstParagraph"/>
      </w:pPr>
      <w:r>
        <w:t xml:space="preserve">For each of 20 oscillatory modules (14 original + 6 expanded: AMPK, SREBP, ATR/CHK1, Rho/ROCK, PPAR/LXR, Autophagy), the Irreversible Authority (IA) score was defined as:</w:t>
      </w:r>
    </w:p>
    <w:p>
      <w:pPr>
        <w:pStyle w:val="BodyText"/>
      </w:pPr>
      <w:r>
        <w:t xml:space="preserve">IA(module) = number of distinct irreversible cellular outcomes controlled by the module</w:t>
      </w:r>
    </w:p>
    <w:p>
      <w:pPr>
        <w:pStyle w:val="BodyText"/>
      </w:pPr>
      <w:r>
        <w:t xml:space="preserve">An outcome was classified as irreversible if the cellular state change cannot be reversed by removing the stimulus: apoptosis (irreversible), senescence (irreversible), terminal differentiation (irreversible), DNA damage checkpoint commitment (irreversible), mitotic commitment (irreversible). Metabolic switching, transcriptional oscillation, and cytoskeletal remodeling were classified as reversible. IA assignment was based on established pathway biology reviewed in standard references (Alberts et al., 2015; Hanahan and Weinberg, 2011; Ferrell, 2002). The classification does not reference cancer gene databases.</w:t>
      </w:r>
    </w:p>
    <w:p>
      <w:pPr>
        <w:pStyle w:val="BodyText"/>
      </w:pPr>
      <w:r>
        <w:t xml:space="preserve">Robustness was assessed by: (1) leave-one-module-out analysis, (2) single-module IA reclassification (plus or minus 1), (3) simultaneous reclassification of three borderline modules, and (4) an automated GO-based proxy counting irreversible-process annotations per module gene.</w:t>
      </w:r>
    </w:p>
    <w:bookmarkEnd w:id="34"/>
    <w:bookmarkStart w:id="35" w:name="module-activity-eigenspace"/>
    <w:p>
      <w:pPr>
        <w:pStyle w:val="Heading3"/>
      </w:pPr>
      <w:r>
        <w:t xml:space="preserve">Module activity eigenspace</w:t>
      </w:r>
    </w:p>
    <w:p>
      <w:pPr>
        <w:pStyle w:val="FirstParagraph"/>
      </w:pPr>
      <w:r>
        <w:t xml:space="preserve">Mean nCPM expression values for each module’s genes were computed across 154 human cell types from the Human Protein Atlas single-cell RNA-seq dataset (v23; Uhlen et al., 2015). The resulting 20 x 154 module expression matrix was standardized (z-score per module) and the 20 x 20 module-module Pearson correlation matrix was computed. Eigendecomposition was performed using numpy.linalg.eigh. The number of retained components was determined by Kaiser criterion (eigenvalue &gt; 1).</w:t>
      </w:r>
    </w:p>
    <w:bookmarkEnd w:id="35"/>
    <w:bookmarkStart w:id="36" w:name="eigenspace-cancer-prediction"/>
    <w:p>
      <w:pPr>
        <w:pStyle w:val="Heading3"/>
      </w:pPr>
      <w:r>
        <w:t xml:space="preserve">Eigenspace cancer prediction</w:t>
      </w:r>
    </w:p>
    <w:p>
      <w:pPr>
        <w:pStyle w:val="FirstParagraph"/>
      </w:pPr>
      <w:r>
        <w:t xml:space="preserve">Each NFL gene was assigned to its corresponding module(s) and projected into the 6D module activity eigenspace using the module’s expression profile. The centroid of all CGC genes in eigenspace was computed, and the 20 non-CGC genes closest to this centroid (by Euclidean distance) were identified as novel cancer gene candidates. Statistical significance was assessed by permutation (10,000 random gene-to-module assignments, computing the distance distribution). Validation used the IntOGen database of cancer driver genes (Gonzalez-Perez et al., 2013; Martinez-Jimenez et al., 2020).</w:t>
      </w:r>
    </w:p>
    <w:bookmarkEnd w:id="36"/>
    <w:bookmarkStart w:id="37" w:name="data-and-code-availability"/>
    <w:p>
      <w:pPr>
        <w:pStyle w:val="Heading3"/>
      </w:pPr>
      <w:r>
        <w:t xml:space="preserve">Data and code availability</w:t>
      </w:r>
    </w:p>
    <w:p>
      <w:pPr>
        <w:pStyle w:val="FirstParagraph"/>
      </w:pPr>
      <w:r>
        <w:t xml:space="preserve">All analysis scripts (step01 through step31), intermediate data files, and the complete NFL motif database are available at https://github.com/mool32/oscillatory-nfl-cancer. KEGG pathway data were accessed via the KEGG API for academic research purposes in accordance with KEGG’s terms of use (https://www.kegg.jp/kegg/legal.html); raw KGML files are not redistributed. The COSMIC CGC v103 is available at https://cancer.sanger.ac.uk/census. HPA data are available at https://www.proteinatlas.org.</w:t>
      </w:r>
    </w:p>
    <w:p>
      <w:r>
        <w:pict>
          <v:rect style="width:0;height:1.5pt" o:hralign="center" o:hrstd="t" o:hr="t"/>
        </w:pict>
      </w:r>
    </w:p>
    <w:bookmarkEnd w:id="37"/>
    <w:bookmarkEnd w:id="38"/>
    <w:bookmarkStart w:id="39" w:name="acknowledgments"/>
    <w:p>
      <w:pPr>
        <w:pStyle w:val="Heading2"/>
      </w:pPr>
      <w:r>
        <w:t xml:space="preserve">Acknowledgments</w:t>
      </w:r>
    </w:p>
    <w:p>
      <w:pPr>
        <w:pStyle w:val="FirstParagraph"/>
      </w:pPr>
      <w:r>
        <w:t xml:space="preserve">I thank the KEGG, COSMIC, and Human Protein Atlas consortia for making their data publicly available.</w:t>
      </w:r>
    </w:p>
    <w:p>
      <w:r>
        <w:pict>
          <v:rect style="width:0;height:1.5pt" o:hralign="center" o:hrstd="t" o:hr="t"/>
        </w:pict>
      </w:r>
    </w:p>
    <w:bookmarkEnd w:id="39"/>
    <w:bookmarkStart w:id="40" w:name="references"/>
    <w:p>
      <w:pPr>
        <w:pStyle w:val="Heading2"/>
      </w:pPr>
      <w:r>
        <w:t xml:space="preserve">References</w:t>
      </w:r>
    </w:p>
    <w:p>
      <w:pPr>
        <w:pStyle w:val="FirstParagraph"/>
      </w:pPr>
      <w:r>
        <w:t xml:space="preserve">Albeck JG et al. (2013). Frequency-modulated pulses of ERK activity transmit quantitative proliferation signals. Mol Cell 49:249-261.</w:t>
      </w:r>
    </w:p>
    <w:p>
      <w:pPr>
        <w:pStyle w:val="BodyText"/>
      </w:pPr>
      <w:r>
        <w:t xml:space="preserve">Alon U (2007). Network motifs: theory and experimental approaches. Nat Rev Genet 8:450-461.</w:t>
      </w:r>
    </w:p>
    <w:p>
      <w:pPr>
        <w:pStyle w:val="BodyText"/>
      </w:pPr>
      <w:r>
        <w:t xml:space="preserve">Bailey MH et al. (2018). Comprehensive characterization of cancer driver genes and mutations. Cell 173:371-385.</w:t>
      </w:r>
    </w:p>
    <w:p>
      <w:pPr>
        <w:pStyle w:val="BodyText"/>
      </w:pPr>
      <w:r>
        <w:t xml:space="preserve">Barkai N, Leibler S (1997). Robustness in simple biochemical networks. Nature 387:913-917.</w:t>
      </w:r>
    </w:p>
    <w:p>
      <w:pPr>
        <w:pStyle w:val="BodyText"/>
      </w:pPr>
      <w:r>
        <w:t xml:space="preserve">Blondel VD et al. (2008). Fast unfolding of communities in large networks. J Stat Mech 2008:P10008.</w:t>
      </w:r>
    </w:p>
    <w:p>
      <w:pPr>
        <w:pStyle w:val="BodyText"/>
      </w:pPr>
      <w:r>
        <w:t xml:space="preserve">Elowitz MB, Leibler S (2000). A synthetic oscillatory network of transcriptional regulators. Nature 403:335-338.</w:t>
      </w:r>
    </w:p>
    <w:p>
      <w:pPr>
        <w:pStyle w:val="BodyText"/>
      </w:pPr>
      <w:r>
        <w:t xml:space="preserve">Ferrell JE (2002). Self-perpetuating states in signal transduction: positive feedback, double-negative feedback and bistability. Curr Opin Cell Biol 14:140-148.</w:t>
      </w:r>
    </w:p>
    <w:p>
      <w:pPr>
        <w:pStyle w:val="BodyText"/>
      </w:pPr>
      <w:r>
        <w:t xml:space="preserve">Forbes SA et al. (2017). COSMIC: somatic cancer genetics at high-resolution. Nucleic Acids Res 45:D777-D783.</w:t>
      </w:r>
    </w:p>
    <w:p>
      <w:pPr>
        <w:pStyle w:val="BodyText"/>
      </w:pPr>
      <w:r>
        <w:t xml:space="preserve">Gonzalez-Perez A et al. (2013). IntOGen-mutations identifies cancer drivers across tumor types. Nat Methods 10:1081-1082.</w:t>
      </w:r>
    </w:p>
    <w:p>
      <w:pPr>
        <w:pStyle w:val="BodyText"/>
      </w:pPr>
      <w:r>
        <w:t xml:space="preserve">Hanahan D (2022). Hallmarks of cancer: new dimensions. Cancer Discov 12:31-46.</w:t>
      </w:r>
    </w:p>
    <w:p>
      <w:pPr>
        <w:pStyle w:val="BodyText"/>
      </w:pPr>
      <w:r>
        <w:t xml:space="preserve">Hanahan D, Weinberg RA (2011). Hallmarks of cancer: the next generation. Cell 144:646-674.</w:t>
      </w:r>
    </w:p>
    <w:p>
      <w:pPr>
        <w:pStyle w:val="BodyText"/>
      </w:pPr>
      <w:r>
        <w:t xml:space="preserve">Hubert L, Arabie P (1985). Comparing partitions. J Classification 2:193-218.</w:t>
      </w:r>
    </w:p>
    <w:p>
      <w:pPr>
        <w:pStyle w:val="BodyText"/>
      </w:pPr>
      <w:r>
        <w:t xml:space="preserve">Kanehisa M et al. (2023). KEGG for taxonomy-based analysis of pathways and genomes. Nucleic Acids Res 51:D587-D592.</w:t>
      </w:r>
    </w:p>
    <w:p>
      <w:pPr>
        <w:pStyle w:val="BodyText"/>
      </w:pPr>
      <w:r>
        <w:t xml:space="preserve">Kumar S et al. (2022). TimeTree 5: an expanded resource for species divergence times. Mol Biol Evol 39:msac174.</w:t>
      </w:r>
    </w:p>
    <w:p>
      <w:pPr>
        <w:pStyle w:val="BodyText"/>
      </w:pPr>
      <w:r>
        <w:t xml:space="preserve">Lahav G et al. (2004). Dynamics of the p53-Mdm2 feedback loop in individual cells. Nat Genet 36:147-150.</w:t>
      </w:r>
    </w:p>
    <w:p>
      <w:pPr>
        <w:pStyle w:val="BodyText"/>
      </w:pPr>
      <w:r>
        <w:t xml:space="preserve">Lim WA et al. (2013). Design principles of regulatory networks: searching for the molecular algorithms of the cell. Mol Cell 49:202-212.</w:t>
      </w:r>
    </w:p>
    <w:p>
      <w:pPr>
        <w:pStyle w:val="BodyText"/>
      </w:pPr>
      <w:r>
        <w:t xml:space="preserve">Martinez-Jimenez F et al. (2020). A compendium of mutational cancer driver genes. Nat Rev Cancer 20:555-572.</w:t>
      </w:r>
    </w:p>
    <w:p>
      <w:pPr>
        <w:pStyle w:val="BodyText"/>
      </w:pPr>
      <w:r>
        <w:t xml:space="preserve">Nelson DE et al. (2004). Oscillations in NF-kappaB signaling control the dynamics of gene expression. Science 306:704-708.</w:t>
      </w:r>
    </w:p>
    <w:p>
      <w:pPr>
        <w:pStyle w:val="BodyText"/>
      </w:pPr>
      <w:r>
        <w:t xml:space="preserve">Novak B, Tyson JJ (2008). Design principles of biochemical oscillators. Nat Rev Mol Cell Biol 9:981-991.</w:t>
      </w:r>
    </w:p>
    <w:p>
      <w:pPr>
        <w:pStyle w:val="BodyText"/>
      </w:pPr>
      <w:r>
        <w:t xml:space="preserve">Purvis JE, Lahav G (2013). Encoding and decoding cellular information through signaling dynamics. Cell 152:945-956.</w:t>
      </w:r>
    </w:p>
    <w:p>
      <w:pPr>
        <w:pStyle w:val="BodyText"/>
      </w:pPr>
      <w:r>
        <w:t xml:space="preserve">Purvis JE et al. (2012). p53 dynamics control cell fate. Science 336:1440-1444.</w:t>
      </w:r>
    </w:p>
    <w:p>
      <w:pPr>
        <w:pStyle w:val="BodyText"/>
      </w:pPr>
      <w:r>
        <w:t xml:space="preserve">Sondka Z et al. (2018). The COSMIC Cancer Gene Census: describing genetic dysfunction across all human cancers. Nat Rev Cancer 18:696-705.</w:t>
      </w:r>
    </w:p>
    <w:p>
      <w:pPr>
        <w:pStyle w:val="BodyText"/>
      </w:pPr>
      <w:r>
        <w:t xml:space="preserve">Spiro T (2026). Temporal architecture of signaling oscillations predicts cancer gene function across pathways. Preprint.</w:t>
      </w:r>
    </w:p>
    <w:p>
      <w:pPr>
        <w:pStyle w:val="BodyText"/>
      </w:pPr>
      <w:r>
        <w:t xml:space="preserve">Stratton MR et al. (2009). The cancer genome. Nature 458:719-724.</w:t>
      </w:r>
    </w:p>
    <w:p>
      <w:pPr>
        <w:pStyle w:val="BodyText"/>
      </w:pPr>
      <w:r>
        <w:t xml:space="preserve">Tay S et al. (2010). Single-cell NF-kappaB dynamics reveal digital activation and analogue information processing. Nature 466:267-271.</w:t>
      </w:r>
    </w:p>
    <w:p>
      <w:pPr>
        <w:pStyle w:val="BodyText"/>
      </w:pPr>
      <w:r>
        <w:t xml:space="preserve">Tyson JJ et al. (2003). Sniffers, buzzers, toggles and blinkers: dynamics of regulatory and signaling pathways in the cell. Curr Opin Cell Biol 15:221-231.</w:t>
      </w:r>
    </w:p>
    <w:p>
      <w:pPr>
        <w:pStyle w:val="BodyText"/>
      </w:pPr>
      <w:r>
        <w:t xml:space="preserve">Uhlen M et al. (2015). Tissue-based map of the human proteome. Science 347:1260419.</w:t>
      </w:r>
    </w:p>
    <w:p>
      <w:pPr>
        <w:pStyle w:val="BodyText"/>
      </w:pPr>
      <w:r>
        <w:t xml:space="preserve">Vogelstein B et al. (2013). Cancer genome landscapes. Science 339:1546-1558.</w:t>
      </w:r>
    </w:p>
    <w:p>
      <w:r>
        <w:pict>
          <v:rect style="width:0;height:1.5pt" o:hralign="center" o:hrstd="t" o:hr="t"/>
        </w:pict>
      </w:r>
    </w:p>
    <w:bookmarkEnd w:id="40"/>
    <w:bookmarkStart w:id="41" w:name="supplementary-tables"/>
    <w:p>
      <w:pPr>
        <w:pStyle w:val="Heading2"/>
      </w:pPr>
      <w:r>
        <w:t xml:space="preserve">Supplementary Tables</w:t>
      </w:r>
    </w:p>
    <w:p>
      <w:pPr>
        <w:pStyle w:val="FirstParagraph"/>
      </w:pPr>
      <w:r>
        <w:rPr>
          <w:b/>
          <w:bCs/>
        </w:rPr>
        <w:t xml:space="preserve">Table S1.</w:t>
      </w:r>
      <w:r>
        <w:t xml:space="preserve"> </w:t>
      </w:r>
      <w:r>
        <w:t xml:space="preserve">22 core feedback loops with activator/inhibitor genes, Ensembl IDs, feedback mechanism, and literature PMIDs.</w:t>
      </w:r>
    </w:p>
    <w:p>
      <w:pPr>
        <w:pStyle w:val="BodyText"/>
      </w:pPr>
      <w:r>
        <w:rPr>
          <w:b/>
          <w:bCs/>
        </w:rPr>
        <w:t xml:space="preserve">Table S2.</w:t>
      </w:r>
      <w:r>
        <w:t xml:space="preserve"> </w:t>
      </w:r>
      <w:r>
        <w:t xml:space="preserve">Ortholog conservation matrix: 43 genes x 15 species, with binary presence/absence of one-to-one orthologs.</w:t>
      </w:r>
    </w:p>
    <w:p>
      <w:pPr>
        <w:pStyle w:val="BodyText"/>
      </w:pPr>
      <w:r>
        <w:rPr>
          <w:b/>
          <w:bCs/>
        </w:rPr>
        <w:t xml:space="preserve">Table S3.</w:t>
      </w:r>
      <w:r>
        <w:t xml:space="preserve"> </w:t>
      </w:r>
      <w:r>
        <w:t xml:space="preserve">128 unique NFL motifs with HGNC gene symbols, edge signs, pathway attribution, and CGC status.</w:t>
      </w:r>
    </w:p>
    <w:p>
      <w:pPr>
        <w:pStyle w:val="BodyText"/>
      </w:pPr>
      <w:r>
        <w:rPr>
          <w:b/>
          <w:bCs/>
        </w:rPr>
        <w:t xml:space="preserve">Table S4.</w:t>
      </w:r>
      <w:r>
        <w:t xml:space="preserve"> </w:t>
      </w:r>
      <w:r>
        <w:t xml:space="preserve">59 non-redundant modules with gene composition, module assignment, and per-module CGC statistics.</w:t>
      </w:r>
    </w:p>
    <w:p>
      <w:pPr>
        <w:pStyle w:val="BodyText"/>
      </w:pPr>
      <w:r>
        <w:rPr>
          <w:b/>
          <w:bCs/>
        </w:rPr>
        <w:t xml:space="preserve">Table S5.</w:t>
      </w:r>
      <w:r>
        <w:t xml:space="preserve"> </w:t>
      </w:r>
      <w:r>
        <w:t xml:space="preserve">Community detection results at three Louvain resolutions (0.5, 1.0, 1.5) with Q, ARI, and community assignments.</w:t>
      </w:r>
    </w:p>
    <w:p>
      <w:pPr>
        <w:pStyle w:val="BodyText"/>
      </w:pPr>
      <w:r>
        <w:rPr>
          <w:b/>
          <w:bCs/>
        </w:rPr>
        <w:t xml:space="preserve">Table S6.</w:t>
      </w:r>
      <w:r>
        <w:t xml:space="preserve"> </w:t>
      </w:r>
      <w:r>
        <w:t xml:space="preserve">Biological validation assessment for 20 randomly sampled NFL motifs (full/partial/artifact classification with evidence).</w:t>
      </w:r>
    </w:p>
    <w:p>
      <w:pPr>
        <w:pStyle w:val="BodyText"/>
      </w:pPr>
      <w:r>
        <w:rPr>
          <w:b/>
          <w:bCs/>
        </w:rPr>
        <w:t xml:space="preserve">Table S7.</w:t>
      </w:r>
      <w:r>
        <w:t xml:space="preserve"> </w:t>
      </w:r>
      <w:r>
        <w:t xml:space="preserve">Complete KEGG signaling gene list summary with NFL membership status and CGC status.</w:t>
      </w:r>
    </w:p>
    <w:p>
      <w:pPr>
        <w:pStyle w:val="BodyText"/>
      </w:pPr>
      <w:r>
        <w:rPr>
          <w:b/>
          <w:bCs/>
        </w:rPr>
        <w:t xml:space="preserve">Table S8.</w:t>
      </w:r>
      <w:r>
        <w:t xml:space="preserve"> </w:t>
      </w:r>
      <w:r>
        <w:t xml:space="preserve">Irreversible Authority scores for 20 modules with irreversible outcome definitions, CGC fractions, and sensitivity analysis results.</w:t>
      </w:r>
    </w:p>
    <w:p>
      <w:pPr>
        <w:pStyle w:val="BodyText"/>
      </w:pPr>
      <w:r>
        <w:rPr>
          <w:b/>
          <w:bCs/>
        </w:rPr>
        <w:t xml:space="preserve">Table S9.</w:t>
      </w:r>
      <w:r>
        <w:t xml:space="preserve"> </w:t>
      </w:r>
      <w:r>
        <w:t xml:space="preserve">Eigenspace cancer gene candidates: 20 non-CGC genes, eigenspace coordinates, distance to CGC centroid, and IntOGen validation status.</w:t>
      </w:r>
    </w:p>
    <w:p>
      <w:r>
        <w:pict>
          <v:rect style="width:0;height:1.5pt" o:hralign="center" o:hrstd="t" o:hr="t"/>
        </w:pict>
      </w:r>
    </w:p>
    <w:bookmarkEnd w:id="41"/>
    <w:bookmarkStart w:id="42" w:name="figure-legends"/>
    <w:p>
      <w:pPr>
        <w:pStyle w:val="Heading2"/>
      </w:pPr>
      <w:r>
        <w:t xml:space="preserve">Figure Legends</w:t>
      </w:r>
    </w:p>
    <w:p>
      <w:pPr>
        <w:pStyle w:val="FirstParagraph"/>
      </w:pPr>
      <w:r>
        <w:rPr>
          <w:b/>
          <w:bCs/>
        </w:rPr>
        <w:t xml:space="preserve">Figure 1. Algorithmic extraction of negative feedback loops from KEGG signaling networks.</w:t>
      </w:r>
      <w:r>
        <w:t xml:space="preserve"> </w:t>
      </w:r>
      <w:r>
        <w:t xml:space="preserve">(A) Pipeline schematic: KEGG KGML files are converted to signed directed graphs; depth-limited search identifies all 2- and 3-node cycles with net negative sign product. (B) Example motifs: p53/MDM2 two-node NFL; E2F1/CCNE1/RB1 three-node NFL showing indirect negative feedback through RB1. (C) Deduplication cascade from 228 raw motifs to 128 unique NFLs to 59 modules to 14 pathway groups. (D) Biological validation of 20 randomly sampled motifs: 35% full validation, 45% partial support, 20% artifact.</w:t>
      </w:r>
    </w:p>
    <w:p>
      <w:pPr>
        <w:pStyle w:val="BodyText"/>
      </w:pPr>
      <w:r>
        <w:rPr>
          <w:b/>
          <w:bCs/>
        </w:rPr>
        <w:t xml:space="preserve">Figure 2. NFL genes are 59-fold enriched for cancer genes.</w:t>
      </w:r>
      <w:r>
        <w:t xml:space="preserve"> </w:t>
      </w:r>
      <w:r>
        <w:t xml:space="preserve">(A) Three nested validity gates with increasing specificity: NFL vs genome (12.8x), NFL vs KEGG signaling (28.1x), NFL vs non-NFL in same pathways (OR = 59). Error bars show 95% confidence intervals. (B) 2x2 contingency table for Gate 3 (critical test). (C) Convergent validation: Paper 1 temporal classification (12.1x) vs Paper 2 topological extraction (12.8x) — two independent methods converge within 6%. (D) Venn diagram of CGC genes identified by each approach: 24 shared, 12 NFL-only, 46 Paper 1-only.</w:t>
      </w:r>
    </w:p>
    <w:p>
      <w:pPr>
        <w:pStyle w:val="BodyText"/>
      </w:pPr>
      <w:r>
        <w:rPr>
          <w:b/>
          <w:bCs/>
        </w:rPr>
        <w:t xml:space="preserve">Figure 3. Modular organization and cross-pathway topology.</w:t>
      </w:r>
      <w:r>
        <w:t xml:space="preserve"> </w:t>
      </w:r>
      <w:r>
        <w:t xml:space="preserve">(A) Network of 128 NFL motifs connected by gene sharing, colored by Louvain communities (10 communities, Q = 0.39). (B) Condensed pathway-level network (14 nodes) showing cross-module connections. (C) ARI between data-driven communities and KEGG annotations at three resolution settings. (D) Hub genes bridging multiple communities: MAPK1 participates in 3 distinct modules.</w:t>
      </w:r>
    </w:p>
    <w:p>
      <w:pPr>
        <w:pStyle w:val="BodyText"/>
      </w:pPr>
      <w:r>
        <w:rPr>
          <w:b/>
          <w:bCs/>
        </w:rPr>
        <w:t xml:space="preserve">Figure 4. Evolutionary conservation gradient.</w:t>
      </w:r>
      <w:r>
        <w:t xml:space="preserve"> </w:t>
      </w:r>
      <w:r>
        <w:t xml:space="preserve">(A) Ortholog matrix heatmap: 22 loops x 15 species ordered by evolutionary divergence time. (B) Conservation summary: 100% vertebrate, 50% invertebrate, 27% unicellular. (C) Age vs waveform asymmetry: older loops are more asymmetric (rho = -0.66,</w:t>
      </w:r>
      <w:r>
        <w:t xml:space="preserve"> </w:t>
      </w:r>
      <w:r>
        <w:rPr>
          <w:i/>
          <w:iCs/>
        </w:rPr>
        <w:t xml:space="preserve">p</w:t>
      </w:r>
      <w:r>
        <w:t xml:space="preserve"> </w:t>
      </w:r>
      <w:r>
        <w:t xml:space="preserve">= 0.015, N = 13 after removing NRF2/KEAP1 convergent-evolution outlier; bootstrap 95% CI excludes zero). (D) All loops &gt;1000 Mya are Class I (asymmetric); symmetric waveforms are exclusively metazoan.</w:t>
      </w:r>
    </w:p>
    <w:p>
      <w:pPr>
        <w:pStyle w:val="BodyText"/>
      </w:pPr>
      <w:r>
        <w:rPr>
          <w:b/>
          <w:bCs/>
        </w:rPr>
        <w:t xml:space="preserve">Figure 5. Irreversible Authority predicts cancer vulnerability across modules.</w:t>
      </w:r>
      <w:r>
        <w:t xml:space="preserve"> </w:t>
      </w:r>
      <w:r>
        <w:t xml:space="preserve">(A) Scatterplot of IA score vs CGC fraction for 20 modules (rho = 0.83). (B) Dose-response: mean CGC fraction by IA level (0, 1, 2, 3). (C) Comparison of three architectural hypotheses: IA (rho = 0.83) vs Authority (rho = 0.752) vs Maintenance cost (rho = 0.03). (D) Sensitivity analysis: leave-one-out range [0.644, 0.783], worst-case triple perturbation rho = 0.714.</w:t>
      </w:r>
    </w:p>
    <w:p>
      <w:pPr>
        <w:pStyle w:val="BodyText"/>
      </w:pPr>
      <w:r>
        <w:rPr>
          <w:b/>
          <w:bCs/>
        </w:rPr>
        <w:t xml:space="preserve">Figure 6. Module activity eigenspace identifies novel cancer gene candidates.</w:t>
      </w:r>
      <w:r>
        <w:t xml:space="preserve"> </w:t>
      </w:r>
      <w:r>
        <w:t xml:space="preserve">(A) Scree plot: 6 Kaiser components explain 67% of variance in the 20-module x 154-cell-type expression matrix. (B) CGC genes cluster in a non-random eigenspace subregion (permutation</w:t>
      </w:r>
      <w:r>
        <w:t xml:space="preserve"> </w:t>
      </w:r>
      <w:r>
        <w:rPr>
          <w:i/>
          <w:iCs/>
        </w:rPr>
        <w:t xml:space="preserve">p</w:t>
      </w:r>
      <w:r>
        <w:t xml:space="preserve"> </w:t>
      </w:r>
      <w:r>
        <w:t xml:space="preserve">= 0.0001). (C) Top 20 novel cancer gene candidates ranked by proximity to CGC centroid. (D) Validation: 13/20 (65%) confirmed by IntOGen, representing 43-fold enrichment over background.</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2026-05-05T08:25:15Z</dcterms:created>
  <dcterms:modified xsi:type="dcterms:W3CDTF">2026-05-05T08:25:15Z</dcterms:modified>
</cp:coreProperties>
</file>

<file path=docProps/custom.xml><?xml version="1.0" encoding="utf-8"?>
<Properties xmlns="http://schemas.openxmlformats.org/officeDocument/2006/custom-properties" xmlns:vt="http://schemas.openxmlformats.org/officeDocument/2006/docPropsVTypes"/>
</file>