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am submitting</w:t>
      </w:r>
      <w:r>
        <w:t xml:space="preserve"> </w:t>
      </w:r>
      <w:r>
        <w:t xml:space="preserve">“Waveform Asymmetry as a Biomarker of Neural Aging: Spatial Degradation of Oscillatory Cycle Shape Across Two Independent Cohorts”</w:t>
      </w:r>
      <w:r>
        <w:t xml:space="preserve"> </w:t>
      </w:r>
      <w:r>
        <w:t xml:space="preserve">for consideration as a Regular Article in NeuroImage.</w:t>
      </w:r>
    </w:p>
    <w:p>
      <w:pPr>
        <w:pStyle w:val="BodyText"/>
      </w:pPr>
      <w:r>
        <w:t xml:space="preserve">This manuscript addresses a gap in the EEG aging literature: while spectral power and frequency have been extensively studied,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individual oscillatory cycles has been largely overlooked. We quantify waveform shape using peak-trough asymmetry (PTA) and report three principal findings: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Band-specific spatial structure.</w:t>
      </w:r>
      <w:r>
        <w:t xml:space="preserve"> </w:t>
      </w:r>
      <w:r>
        <w:t xml:space="preserve">Slow and fast rhythms show opposing waveform asymmetry, with a robust spatial double dissociation between posterior alpha and central beta — reflecting distinct excitatory versus inhibitory generating circuits.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Replicated aging biomarker.</w:t>
      </w:r>
      <w:r>
        <w:t xml:space="preserve"> </w:t>
      </w:r>
      <w:r>
        <w:t xml:space="preserve">Beta-band asymmetry declines with age (Cohen’s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0.7), replicated across two independent cohorts (LEMON N=215; Dortmund N=608) with pre-registered blind predictions that were precisely confirmed. The effect survives control for aperiodic spectral slope and EMG artifacts. Longitudinal 5-year follow-up (N=208) confirms test-retest reliability.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Spatial network degradation.</w:t>
      </w:r>
      <w:r>
        <w:t xml:space="preserve"> </w:t>
      </w:r>
      <w:r>
        <w:t xml:space="preserve">The spatial organization of waveform asymmetry simplifies with age, and theta spatial entropy independently predicts memory performance — linking oscillatory cycle shape to functional cognitive networks.</w:t>
      </w:r>
    </w:p>
    <w:p>
      <w:pPr>
        <w:pStyle w:val="FirstParagraph"/>
      </w:pPr>
      <w:r>
        <w:t xml:space="preserve">The work fits NeuroImage because it introduces a novel EEG-based neuroimaging metric with strong spatial topographic structure, demonstrates its sensitivity to aging across two large cohorts with combined N &gt; 800, and links oscillatory cycle shape to both spatial brain organization and cognitive function. The broadband cycle-by-cycle approach complements existing spectral and connectivity methods. All data and code are openly available (https://github.com/mool32/waveform-asymmetry-aging).</w:t>
      </w:r>
    </w:p>
    <w:p>
      <w:pPr>
        <w:pStyle w:val="BodyText"/>
      </w:pPr>
      <w:r>
        <w:rPr>
          <w:b/>
          <w:bCs/>
        </w:rPr>
        <w:t xml:space="preserve">Suggested reviewers:</w:t>
      </w:r>
    </w:p>
    <w:p>
      <w:pPr>
        <w:pStyle w:val="Compact"/>
        <w:numPr>
          <w:ilvl w:val="0"/>
          <w:numId w:val="1002"/>
        </w:numPr>
      </w:pPr>
      <w:r>
        <w:t xml:space="preserve">Bradley Voytek (University of California, San Diego) — originator of the PTA method; expertise in waveform shape and neural oscillations</w:t>
      </w:r>
    </w:p>
    <w:p>
      <w:pPr>
        <w:pStyle w:val="Compact"/>
        <w:numPr>
          <w:ilvl w:val="0"/>
          <w:numId w:val="1002"/>
        </w:numPr>
      </w:pPr>
      <w:r>
        <w:t xml:space="preserve">Natalie Schaworonkow (University of Tuebingen) — expertise in waveform shape across development and spatial synchronization</w:t>
      </w:r>
    </w:p>
    <w:p>
      <w:pPr>
        <w:pStyle w:val="Compact"/>
        <w:numPr>
          <w:ilvl w:val="0"/>
          <w:numId w:val="1002"/>
        </w:numPr>
      </w:pPr>
      <w:r>
        <w:t xml:space="preserve">Thomas Donoghue (Columbia University) — expertise in parameterizing neural power spectra and aperiodic activity</w:t>
      </w:r>
    </w:p>
    <w:p>
      <w:pPr>
        <w:pStyle w:val="FirstParagraph"/>
      </w:pPr>
      <w:r>
        <w:t xml:space="preserve">This manuscript is original and not under consideration at another journal. The author has approved the submission.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Theodor Spiro</w:t>
      </w:r>
      <w:r>
        <w:t xml:space="preserve"> </w:t>
      </w:r>
      <w:r>
        <w:t xml:space="preserve">Vaika Inc., East Aurora, NY, USA</w:t>
      </w:r>
      <w:r>
        <w:t xml:space="preserve"> </w:t>
      </w:r>
      <w:r>
        <w:t xml:space="preserve">theospirin@gmail.com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2026-04-11T15:32:45Z</dcterms:created>
  <dcterms:modified xsi:type="dcterms:W3CDTF">2026-04-11T15:32:45Z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