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ata-and-code-availability-statement"/>
    <w:p>
      <w:pPr>
        <w:pStyle w:val="Heading2"/>
      </w:pPr>
      <w:r>
        <w:t xml:space="preserve">Data and Code Availability Statement</w:t>
      </w:r>
    </w:p>
    <w:p>
      <w:pPr>
        <w:pStyle w:val="FirstParagraph"/>
      </w:pPr>
      <w:r>
        <w:t xml:space="preserve">All data used in this study are publicly available. The LEMON dataset is available from the Max Planck Institute Leipzig Mind-Brain-Body repository (https://ftp.gwdg.de/pub/misc/MPI-Leipzig_Mind-Brain-Body-LEMON/). The Dortmund Vital Study dataset is available on OpenNeuro (https://openneuro.org/datasets/ds005385).</w:t>
      </w:r>
    </w:p>
    <w:p>
      <w:pPr>
        <w:pStyle w:val="BodyText"/>
      </w:pPr>
      <w:r>
        <w:t xml:space="preserve">All analysis code is publicly available on GitHub: https://github.com/mool32/waveform-asymmetry-aging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2026-04-11T15:32:46Z</dcterms:created>
  <dcterms:modified xsi:type="dcterms:W3CDTF">2026-04-11T15:32:46Z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