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Beta-band waveform asymmetry declines with age (Cohen’s d = 0.7), replicated across two independent EEG cohorts (N &gt; 800)</w:t>
      </w:r>
    </w:p>
    <w:p>
      <w:pPr>
        <w:pStyle w:val="Compact"/>
        <w:numPr>
          <w:ilvl w:val="0"/>
          <w:numId w:val="1001"/>
        </w:numPr>
      </w:pPr>
      <w:r>
        <w:t xml:space="preserve">Slow and fast oscillations show opposing asymmetry with a spatial double dissociation between posterior alpha and central beta</w:t>
      </w:r>
    </w:p>
    <w:p>
      <w:pPr>
        <w:pStyle w:val="Compact"/>
        <w:numPr>
          <w:ilvl w:val="0"/>
          <w:numId w:val="1001"/>
        </w:numPr>
      </w:pPr>
      <w:r>
        <w:t xml:space="preserve">Spatial organization of waveform asymmetry simplifies with age: magnitude increases while diversity decreases</w:t>
      </w:r>
    </w:p>
    <w:p>
      <w:pPr>
        <w:pStyle w:val="Compact"/>
        <w:numPr>
          <w:ilvl w:val="0"/>
          <w:numId w:val="1001"/>
        </w:numPr>
      </w:pPr>
      <w:r>
        <w:t xml:space="preserve">Theta spatial entropy predicts memory and executive performance independent of age</w:t>
      </w:r>
    </w:p>
    <w:p>
      <w:pPr>
        <w:pStyle w:val="Compact"/>
        <w:numPr>
          <w:ilvl w:val="0"/>
          <w:numId w:val="1001"/>
        </w:numPr>
      </w:pPr>
      <w:r>
        <w:t xml:space="preserve">Waveform asymmetry provides a rapid biomarker accessible from standard 3-minute EEG recordings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2026-04-11T15:32:46Z</dcterms:created>
  <dcterms:modified xsi:type="dcterms:W3CDTF">2026-04-11T15:32:46Z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