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d75ce4682ea63b89a92610a5be11765a229fb"/>
    <w:p>
      <w:pPr>
        <w:pStyle w:val="Heading1"/>
      </w:pPr>
      <w:r>
        <w:t xml:space="preserve">Waveform Asymmetry as a Biomarker of Neural Aging: Spatial Degradation of Oscillatory Cycle Shape Across Two Independent Cohorts</w:t>
      </w:r>
    </w:p>
    <w:p>
      <w:pPr>
        <w:pStyle w:val="FirstParagraph"/>
      </w:pPr>
      <w:r>
        <w:rPr>
          <w:b/>
          <w:bCs/>
        </w:rPr>
        <w:t xml:space="preserve">Theodor Spiro</w:t>
      </w:r>
      <w:r>
        <w:rPr>
          <w:vertAlign w:val="superscript"/>
        </w:rPr>
        <w:t xml:space="preserve">1,2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Vaika Inc., East Aurora, NY, USA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Independent Researcher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Theodor Spiro</w:t>
      </w:r>
      <w:r>
        <w:t xml:space="preserve"> </w:t>
      </w:r>
      <w:r>
        <w:t xml:space="preserve">Email: theospirin@gmail.com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Waveform Asymmetry and Neural Aging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2026-04-11T15:32:46Z</dcterms:created>
  <dcterms:modified xsi:type="dcterms:W3CDTF">2026-04-11T15:32:46Z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