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c5e8ccd386de9152de87f2f1a03e8dee013ee2f"/>
    <w:p>
      <w:pPr>
        <w:pStyle w:val="Heading1"/>
      </w:pPr>
      <w:r>
        <w:t xml:space="preserve">The Crypto Inheritance Problem: Estate Planning for Digital Assets</w:t>
      </w:r>
    </w:p>
    <w:p>
      <w:pPr>
        <w:pStyle w:val="FirstParagraph"/>
      </w:pPr>
      <w:r>
        <w:t xml:space="preserve">Cryptocurrency has created unprecedented wealth—but it has also created a new estate planning problem. Unlike traditional assets, crypto cannot be reclaimed if access keys are lost. For heirs, inheritance may be impossible without proper planning. This article explores legal frameworks, custody solutions, tax implications, and practical strategies for passing down digital wealth.</w:t>
      </w:r>
    </w:p>
    <w:p>
      <w:r>
        <w:pict>
          <v:rect style="width:0;height:1.5pt" o:hralign="center" o:hrstd="t" o:hr="t"/>
        </w:pict>
      </w:r>
    </w:p>
    <w:bookmarkStart w:id="20" w:name="legal-frameworks-by-jurisdiction"/>
    <w:p>
      <w:pPr>
        <w:pStyle w:val="Heading2"/>
      </w:pPr>
      <w:r>
        <w:t xml:space="preserve">1. Legal Frameworks by Jurisdiction</w:t>
      </w:r>
    </w:p>
    <w:p>
      <w:pPr>
        <w:numPr>
          <w:ilvl w:val="0"/>
          <w:numId w:val="1001"/>
        </w:numPr>
        <w:pStyle w:val="Compact"/>
      </w:pPr>
      <w:r>
        <w:rPr>
          <w:bCs/>
          <w:b/>
        </w:rPr>
        <w:t xml:space="preserve">United States</w:t>
      </w:r>
    </w:p>
    <w:p>
      <w:pPr>
        <w:numPr>
          <w:ilvl w:val="1"/>
          <w:numId w:val="1002"/>
        </w:numPr>
        <w:pStyle w:val="Compact"/>
      </w:pPr>
      <w:r>
        <w:t xml:space="preserve">Crypto is treated as property for estate purposes.</w:t>
      </w:r>
      <w:r>
        <w:br/>
      </w:r>
    </w:p>
    <w:p>
      <w:pPr>
        <w:numPr>
          <w:ilvl w:val="1"/>
          <w:numId w:val="1002"/>
        </w:numPr>
        <w:pStyle w:val="Compact"/>
      </w:pPr>
      <w:r>
        <w:t xml:space="preserve">Executors must report holdings at fair market value at the date of death.</w:t>
      </w:r>
      <w:r>
        <w:br/>
      </w:r>
    </w:p>
    <w:p>
      <w:pPr>
        <w:numPr>
          <w:ilvl w:val="1"/>
          <w:numId w:val="1002"/>
        </w:numPr>
        <w:pStyle w:val="Compact"/>
      </w:pPr>
      <w:r>
        <w:t xml:space="preserve">State probate laws may require disclosure of digital assets.</w:t>
      </w:r>
      <w:r>
        <w:br/>
      </w:r>
    </w:p>
    <w:p>
      <w:pPr>
        <w:numPr>
          <w:ilvl w:val="1"/>
          <w:numId w:val="1002"/>
        </w:numPr>
        <w:pStyle w:val="Compact"/>
      </w:pPr>
      <w:r>
        <w:t xml:space="preserve">Some states (e.g., Delaware, Florida) have adopted the Revised Uniform Fiduciary Access to Digital Assets Act (RUFADAA), granting fiduciaries authority to access digital property.</w:t>
      </w:r>
    </w:p>
    <w:p>
      <w:pPr>
        <w:numPr>
          <w:ilvl w:val="0"/>
          <w:numId w:val="1001"/>
        </w:numPr>
        <w:pStyle w:val="Compact"/>
      </w:pPr>
      <w:r>
        <w:rPr>
          <w:bCs/>
          <w:b/>
        </w:rPr>
        <w:t xml:space="preserve">European Union</w:t>
      </w:r>
    </w:p>
    <w:p>
      <w:pPr>
        <w:numPr>
          <w:ilvl w:val="1"/>
          <w:numId w:val="1003"/>
        </w:numPr>
        <w:pStyle w:val="Compact"/>
      </w:pPr>
      <w:r>
        <w:t xml:space="preserve">Under MiCA, digital assets fall under financial instruments rules.</w:t>
      </w:r>
      <w:r>
        <w:br/>
      </w:r>
    </w:p>
    <w:p>
      <w:pPr>
        <w:numPr>
          <w:ilvl w:val="1"/>
          <w:numId w:val="1003"/>
        </w:numPr>
        <w:pStyle w:val="Compact"/>
      </w:pPr>
      <w:r>
        <w:t xml:space="preserve">Inheritance tax regimes vary by member state.</w:t>
      </w:r>
      <w:r>
        <w:br/>
      </w:r>
    </w:p>
    <w:p>
      <w:pPr>
        <w:numPr>
          <w:ilvl w:val="1"/>
          <w:numId w:val="1003"/>
        </w:numPr>
        <w:pStyle w:val="Compact"/>
      </w:pPr>
      <w:r>
        <w:t xml:space="preserve">Countries like Germany treat crypto as private money, subject to inheritance tax rates (7–50%).</w:t>
      </w:r>
    </w:p>
    <w:p>
      <w:pPr>
        <w:numPr>
          <w:ilvl w:val="0"/>
          <w:numId w:val="1001"/>
        </w:numPr>
        <w:pStyle w:val="Compact"/>
      </w:pPr>
      <w:r>
        <w:rPr>
          <w:bCs/>
          <w:b/>
        </w:rPr>
        <w:t xml:space="preserve">Asia</w:t>
      </w:r>
    </w:p>
    <w:p>
      <w:pPr>
        <w:numPr>
          <w:ilvl w:val="1"/>
          <w:numId w:val="1004"/>
        </w:numPr>
        <w:pStyle w:val="Compact"/>
      </w:pPr>
      <w:r>
        <w:t xml:space="preserve">Japan: crypto is treated as property and taxed under inheritance law.</w:t>
      </w:r>
      <w:r>
        <w:br/>
      </w:r>
    </w:p>
    <w:p>
      <w:pPr>
        <w:numPr>
          <w:ilvl w:val="1"/>
          <w:numId w:val="1004"/>
        </w:numPr>
        <w:pStyle w:val="Compact"/>
      </w:pPr>
      <w:r>
        <w:t xml:space="preserve">Singapore: no capital gains tax, but estate distribution must comply with trust law.</w:t>
      </w:r>
      <w:r>
        <w:br/>
      </w:r>
    </w:p>
    <w:p>
      <w:pPr>
        <w:numPr>
          <w:ilvl w:val="1"/>
          <w:numId w:val="1004"/>
        </w:numPr>
        <w:pStyle w:val="Compact"/>
      </w:pPr>
      <w:r>
        <w:t xml:space="preserve">Hong Kong: no inheritance tax, but probate laws still apply.</w:t>
      </w:r>
    </w:p>
    <w:p>
      <w:pPr>
        <w:pStyle w:val="FirstParagraph"/>
      </w:pPr>
      <w:r>
        <w:rPr>
          <w:bCs/>
          <w:b/>
        </w:rPr>
        <w:t xml:space="preserve">Key takeaway</w:t>
      </w:r>
      <w:r>
        <w:t xml:space="preserve">: Legal clarity is improving, but estate planning requires jurisdiction-specific expertise.</w:t>
      </w:r>
    </w:p>
    <w:p>
      <w:r>
        <w:pict>
          <v:rect style="width:0;height:1.5pt" o:hralign="center" o:hrstd="t" o:hr="t"/>
        </w:pict>
      </w:r>
    </w:p>
    <w:bookmarkEnd w:id="20"/>
    <w:bookmarkStart w:id="21" w:name="custody-and-access-solutions"/>
    <w:p>
      <w:pPr>
        <w:pStyle w:val="Heading2"/>
      </w:pPr>
      <w:r>
        <w:t xml:space="preserve">2. Custody and Access Solutions</w:t>
      </w:r>
    </w:p>
    <w:p>
      <w:pPr>
        <w:numPr>
          <w:ilvl w:val="0"/>
          <w:numId w:val="1005"/>
        </w:numPr>
        <w:pStyle w:val="Compact"/>
      </w:pPr>
      <w:r>
        <w:rPr>
          <w:bCs/>
          <w:b/>
        </w:rPr>
        <w:t xml:space="preserve">Self-Custody Risks</w:t>
      </w:r>
    </w:p>
    <w:p>
      <w:pPr>
        <w:numPr>
          <w:ilvl w:val="1"/>
          <w:numId w:val="1006"/>
        </w:numPr>
        <w:pStyle w:val="Compact"/>
      </w:pPr>
      <w:r>
        <w:t xml:space="preserve">Private keys die with the owner unless securely shared.</w:t>
      </w:r>
      <w:r>
        <w:br/>
      </w:r>
    </w:p>
    <w:p>
      <w:pPr>
        <w:numPr>
          <w:ilvl w:val="1"/>
          <w:numId w:val="1006"/>
        </w:numPr>
        <w:pStyle w:val="Compact"/>
      </w:pPr>
      <w:r>
        <w:t xml:space="preserve">Writing seed phrases in wills risks exposure.</w:t>
      </w:r>
    </w:p>
    <w:p>
      <w:pPr>
        <w:numPr>
          <w:ilvl w:val="0"/>
          <w:numId w:val="1005"/>
        </w:numPr>
        <w:pStyle w:val="Compact"/>
      </w:pPr>
      <w:r>
        <w:rPr>
          <w:bCs/>
          <w:b/>
        </w:rPr>
        <w:t xml:space="preserve">Centralized Custody</w:t>
      </w:r>
    </w:p>
    <w:p>
      <w:pPr>
        <w:numPr>
          <w:ilvl w:val="1"/>
          <w:numId w:val="1007"/>
        </w:numPr>
        <w:pStyle w:val="Compact"/>
      </w:pPr>
      <w:r>
        <w:t xml:space="preserve">Exchanges may transfer assets to heirs if legal documents (death certificate, probate order) are provided.</w:t>
      </w:r>
      <w:r>
        <w:br/>
      </w:r>
    </w:p>
    <w:p>
      <w:pPr>
        <w:numPr>
          <w:ilvl w:val="1"/>
          <w:numId w:val="1007"/>
        </w:numPr>
        <w:pStyle w:val="Compact"/>
      </w:pPr>
      <w:r>
        <w:t xml:space="preserve">Risk: exchange solvency and jurisdictional restrictions.</w:t>
      </w:r>
    </w:p>
    <w:p>
      <w:pPr>
        <w:numPr>
          <w:ilvl w:val="0"/>
          <w:numId w:val="1005"/>
        </w:numPr>
        <w:pStyle w:val="Compact"/>
      </w:pPr>
      <w:r>
        <w:rPr>
          <w:bCs/>
          <w:b/>
        </w:rPr>
        <w:t xml:space="preserve">Institutional Custody</w:t>
      </w:r>
    </w:p>
    <w:p>
      <w:pPr>
        <w:numPr>
          <w:ilvl w:val="1"/>
          <w:numId w:val="1008"/>
        </w:numPr>
        <w:pStyle w:val="Compact"/>
      </w:pPr>
      <w:r>
        <w:t xml:space="preserve">Regulated custodians offer inheritance services.</w:t>
      </w:r>
      <w:r>
        <w:br/>
      </w:r>
    </w:p>
    <w:p>
      <w:pPr>
        <w:numPr>
          <w:ilvl w:val="1"/>
          <w:numId w:val="1008"/>
        </w:numPr>
        <w:pStyle w:val="Compact"/>
      </w:pPr>
      <w:r>
        <w:t xml:space="preserve">Multi-signature escrow allows assets to transfer after proof of death.</w:t>
      </w:r>
    </w:p>
    <w:p>
      <w:pPr>
        <w:pStyle w:val="FirstParagraph"/>
      </w:pPr>
      <w:r>
        <w:rPr>
          <w:bCs/>
          <w:b/>
        </w:rPr>
        <w:t xml:space="preserve">Best practice</w:t>
      </w:r>
      <w:r>
        <w:t xml:space="preserve">: Use institutional-grade custody if holdings are significant, or combine self-custody with inheritance protocols.</w:t>
      </w:r>
    </w:p>
    <w:p>
      <w:r>
        <w:pict>
          <v:rect style="width:0;height:1.5pt" o:hralign="center" o:hrstd="t" o:hr="t"/>
        </w:pict>
      </w:r>
    </w:p>
    <w:bookmarkEnd w:id="21"/>
    <w:bookmarkStart w:id="22" w:name="tax-implications-for-heirs"/>
    <w:p>
      <w:pPr>
        <w:pStyle w:val="Heading2"/>
      </w:pPr>
      <w:r>
        <w:t xml:space="preserve">3. Tax Implications for Heirs</w:t>
      </w:r>
    </w:p>
    <w:p>
      <w:pPr>
        <w:numPr>
          <w:ilvl w:val="0"/>
          <w:numId w:val="1009"/>
        </w:numPr>
        <w:pStyle w:val="Compact"/>
      </w:pPr>
      <w:r>
        <w:rPr>
          <w:bCs/>
          <w:b/>
        </w:rPr>
        <w:t xml:space="preserve">United States</w:t>
      </w:r>
    </w:p>
    <w:p>
      <w:pPr>
        <w:numPr>
          <w:ilvl w:val="1"/>
          <w:numId w:val="1010"/>
        </w:numPr>
        <w:pStyle w:val="Compact"/>
      </w:pPr>
      <w:r>
        <w:t xml:space="preserve">Step-up in basis applies: heirs inherit assets at market value on date of death.</w:t>
      </w:r>
      <w:r>
        <w:br/>
      </w:r>
    </w:p>
    <w:p>
      <w:pPr>
        <w:numPr>
          <w:ilvl w:val="1"/>
          <w:numId w:val="1010"/>
        </w:numPr>
        <w:pStyle w:val="Compact"/>
      </w:pPr>
      <w:r>
        <w:t xml:space="preserve">Estate taxes apply above federal/state thresholds.</w:t>
      </w:r>
    </w:p>
    <w:p>
      <w:pPr>
        <w:numPr>
          <w:ilvl w:val="0"/>
          <w:numId w:val="1009"/>
        </w:numPr>
        <w:pStyle w:val="Compact"/>
      </w:pPr>
      <w:r>
        <w:rPr>
          <w:bCs/>
          <w:b/>
        </w:rPr>
        <w:t xml:space="preserve">European Union</w:t>
      </w:r>
    </w:p>
    <w:p>
      <w:pPr>
        <w:numPr>
          <w:ilvl w:val="1"/>
          <w:numId w:val="1011"/>
        </w:numPr>
        <w:pStyle w:val="Compact"/>
      </w:pPr>
      <w:r>
        <w:t xml:space="preserve">Varies by country. Germany and France impose inheritance taxes. Portugal currently does not.</w:t>
      </w:r>
    </w:p>
    <w:p>
      <w:pPr>
        <w:numPr>
          <w:ilvl w:val="0"/>
          <w:numId w:val="1009"/>
        </w:numPr>
        <w:pStyle w:val="Compact"/>
      </w:pPr>
      <w:r>
        <w:rPr>
          <w:bCs/>
          <w:b/>
        </w:rPr>
        <w:t xml:space="preserve">Asia</w:t>
      </w:r>
    </w:p>
    <w:p>
      <w:pPr>
        <w:numPr>
          <w:ilvl w:val="1"/>
          <w:numId w:val="1012"/>
        </w:numPr>
        <w:pStyle w:val="Compact"/>
      </w:pPr>
      <w:r>
        <w:t xml:space="preserve">Japan imposes inheritance tax at progressive rates.</w:t>
      </w:r>
      <w:r>
        <w:br/>
      </w:r>
    </w:p>
    <w:p>
      <w:pPr>
        <w:numPr>
          <w:ilvl w:val="1"/>
          <w:numId w:val="1012"/>
        </w:numPr>
        <w:pStyle w:val="Compact"/>
      </w:pPr>
      <w:r>
        <w:t xml:space="preserve">Singapore and Hong Kong: no inheritance tax.</w:t>
      </w:r>
    </w:p>
    <w:p>
      <w:pPr>
        <w:pStyle w:val="FirstParagraph"/>
      </w:pPr>
      <w:r>
        <w:rPr>
          <w:bCs/>
          <w:b/>
        </w:rPr>
        <w:t xml:space="preserve">Impact</w:t>
      </w:r>
      <w:r>
        <w:t xml:space="preserve">: Taxes can significantly erode inherited wealth. Estate planning should integrate tax strategy.</w:t>
      </w:r>
    </w:p>
    <w:p>
      <w:r>
        <w:pict>
          <v:rect style="width:0;height:1.5pt" o:hralign="center" o:hrstd="t" o:hr="t"/>
        </w:pict>
      </w:r>
    </w:p>
    <w:bookmarkEnd w:id="22"/>
    <w:bookmarkStart w:id="23" w:name="multi-signature-and-time-lock-strategies"/>
    <w:p>
      <w:pPr>
        <w:pStyle w:val="Heading2"/>
      </w:pPr>
      <w:r>
        <w:t xml:space="preserve">4. Multi-Signature and Time-Lock Strategies</w:t>
      </w:r>
    </w:p>
    <w:p>
      <w:pPr>
        <w:numPr>
          <w:ilvl w:val="0"/>
          <w:numId w:val="1013"/>
        </w:numPr>
        <w:pStyle w:val="Compact"/>
      </w:pPr>
      <w:r>
        <w:rPr>
          <w:bCs/>
          <w:b/>
        </w:rPr>
        <w:t xml:space="preserve">Multi-Signature Wallets</w:t>
      </w:r>
    </w:p>
    <w:p>
      <w:pPr>
        <w:numPr>
          <w:ilvl w:val="1"/>
          <w:numId w:val="1014"/>
        </w:numPr>
        <w:pStyle w:val="Compact"/>
      </w:pPr>
      <w:r>
        <w:t xml:space="preserve">Require multiple keys to authorize transfers.</w:t>
      </w:r>
      <w:r>
        <w:br/>
      </w:r>
    </w:p>
    <w:p>
      <w:pPr>
        <w:numPr>
          <w:ilvl w:val="1"/>
          <w:numId w:val="1014"/>
        </w:numPr>
        <w:pStyle w:val="Compact"/>
      </w:pPr>
      <w:r>
        <w:t xml:space="preserve">Keys can be distributed among trusted family members, lawyers, or custodians.</w:t>
      </w:r>
    </w:p>
    <w:p>
      <w:pPr>
        <w:numPr>
          <w:ilvl w:val="0"/>
          <w:numId w:val="1013"/>
        </w:numPr>
        <w:pStyle w:val="Compact"/>
      </w:pPr>
      <w:r>
        <w:rPr>
          <w:bCs/>
          <w:b/>
        </w:rPr>
        <w:t xml:space="preserve">Time-Locks</w:t>
      </w:r>
    </w:p>
    <w:p>
      <w:pPr>
        <w:numPr>
          <w:ilvl w:val="1"/>
          <w:numId w:val="1015"/>
        </w:numPr>
        <w:pStyle w:val="Compact"/>
      </w:pPr>
      <w:r>
        <w:t xml:space="preserve">Smart contracts can release funds after a defined period of inactivity.</w:t>
      </w:r>
      <w:r>
        <w:br/>
      </w:r>
    </w:p>
    <w:p>
      <w:pPr>
        <w:numPr>
          <w:ilvl w:val="1"/>
          <w:numId w:val="1015"/>
        </w:numPr>
        <w:pStyle w:val="Compact"/>
      </w:pPr>
      <w:r>
        <w:t xml:space="preserve">Example: if no activity on wallet for 12 months, assets auto-transfer to heir addresses.</w:t>
      </w:r>
    </w:p>
    <w:p>
      <w:pPr>
        <w:numPr>
          <w:ilvl w:val="0"/>
          <w:numId w:val="1013"/>
        </w:numPr>
        <w:pStyle w:val="Compact"/>
      </w:pPr>
      <w:r>
        <w:rPr>
          <w:bCs/>
          <w:b/>
        </w:rPr>
        <w:t xml:space="preserve">Hybrid Models</w:t>
      </w:r>
    </w:p>
    <w:p>
      <w:pPr>
        <w:numPr>
          <w:ilvl w:val="1"/>
          <w:numId w:val="1016"/>
        </w:numPr>
        <w:pStyle w:val="Compact"/>
      </w:pPr>
      <w:r>
        <w:t xml:space="preserve">Combine multisig with time-lock to reduce risks of fraud or loss.</w:t>
      </w:r>
    </w:p>
    <w:p>
      <w:pPr>
        <w:pStyle w:val="FirstParagraph"/>
      </w:pPr>
      <w:r>
        <w:rPr>
          <w:bCs/>
          <w:b/>
        </w:rPr>
        <w:t xml:space="preserve">Impact</w:t>
      </w:r>
      <w:r>
        <w:t xml:space="preserve">: These cryptographic tools can embed inheritance logic directly on-chain.</w:t>
      </w:r>
    </w:p>
    <w:p>
      <w:r>
        <w:pict>
          <v:rect style="width:0;height:1.5pt" o:hralign="center" o:hrstd="t" o:hr="t"/>
        </w:pict>
      </w:r>
    </w:p>
    <w:bookmarkEnd w:id="23"/>
    <w:bookmarkStart w:id="24" w:name="professional-service-providers"/>
    <w:p>
      <w:pPr>
        <w:pStyle w:val="Heading2"/>
      </w:pPr>
      <w:r>
        <w:t xml:space="preserve">5. Professional Service Providers</w:t>
      </w:r>
    </w:p>
    <w:p>
      <w:pPr>
        <w:numPr>
          <w:ilvl w:val="0"/>
          <w:numId w:val="1017"/>
        </w:numPr>
        <w:pStyle w:val="Compact"/>
      </w:pPr>
      <w:r>
        <w:rPr>
          <w:bCs/>
          <w:b/>
        </w:rPr>
        <w:t xml:space="preserve">Crypto Estate Planning Lawyers</w:t>
      </w:r>
    </w:p>
    <w:p>
      <w:pPr>
        <w:numPr>
          <w:ilvl w:val="1"/>
          <w:numId w:val="1018"/>
        </w:numPr>
        <w:pStyle w:val="Compact"/>
      </w:pPr>
      <w:r>
        <w:t xml:space="preserve">Specialize in wills and trusts that include digital asset instructions.</w:t>
      </w:r>
      <w:r>
        <w:br/>
      </w:r>
    </w:p>
    <w:p>
      <w:pPr>
        <w:numPr>
          <w:ilvl w:val="1"/>
          <w:numId w:val="1018"/>
        </w:numPr>
        <w:pStyle w:val="Compact"/>
      </w:pPr>
      <w:r>
        <w:t xml:space="preserve">Draft legal documents compliant with local law.</w:t>
      </w:r>
    </w:p>
    <w:p>
      <w:pPr>
        <w:numPr>
          <w:ilvl w:val="0"/>
          <w:numId w:val="1017"/>
        </w:numPr>
        <w:pStyle w:val="Compact"/>
      </w:pPr>
      <w:r>
        <w:rPr>
          <w:bCs/>
          <w:b/>
        </w:rPr>
        <w:t xml:space="preserve">Custodians with Inheritance Support</w:t>
      </w:r>
    </w:p>
    <w:p>
      <w:pPr>
        <w:numPr>
          <w:ilvl w:val="1"/>
          <w:numId w:val="1019"/>
        </w:numPr>
        <w:pStyle w:val="Compact"/>
      </w:pPr>
      <w:r>
        <w:t xml:space="preserve">Anchorage Digital, BitGo, and Coinbase Custody offer inheritance solutions.</w:t>
      </w:r>
      <w:r>
        <w:br/>
      </w:r>
    </w:p>
    <w:p>
      <w:pPr>
        <w:numPr>
          <w:ilvl w:val="1"/>
          <w:numId w:val="1019"/>
        </w:numPr>
        <w:pStyle w:val="Compact"/>
      </w:pPr>
      <w:r>
        <w:t xml:space="preserve">Provide continuity in asset management and transfer.</w:t>
      </w:r>
    </w:p>
    <w:p>
      <w:pPr>
        <w:numPr>
          <w:ilvl w:val="0"/>
          <w:numId w:val="1017"/>
        </w:numPr>
        <w:pStyle w:val="Compact"/>
      </w:pPr>
      <w:r>
        <w:rPr>
          <w:bCs/>
          <w:b/>
        </w:rPr>
        <w:t xml:space="preserve">Family Offices and Trustees</w:t>
      </w:r>
    </w:p>
    <w:p>
      <w:pPr>
        <w:numPr>
          <w:ilvl w:val="1"/>
          <w:numId w:val="1020"/>
        </w:numPr>
        <w:pStyle w:val="Compact"/>
      </w:pPr>
      <w:r>
        <w:t xml:space="preserve">Wealth managers are increasingly integrating crypto into estate planning mandates.</w:t>
      </w:r>
    </w:p>
    <w:p>
      <w:pPr>
        <w:pStyle w:val="FirstParagraph"/>
      </w:pPr>
      <w:r>
        <w:rPr>
          <w:bCs/>
          <w:b/>
        </w:rPr>
        <w:t xml:space="preserve">Impact</w:t>
      </w:r>
      <w:r>
        <w:t xml:space="preserve">: Professional support ensures compliance, reduces disputes, and protects heirs.</w:t>
      </w:r>
    </w:p>
    <w:p>
      <w:r>
        <w:pict>
          <v:rect style="width:0;height:1.5pt" o:hralign="center" o:hrstd="t" o:hr="t"/>
        </w:pict>
      </w:r>
    </w:p>
    <w:bookmarkEnd w:id="24"/>
    <w:bookmarkStart w:id="25" w:name="final-thoughts"/>
    <w:p>
      <w:pPr>
        <w:pStyle w:val="Heading2"/>
      </w:pPr>
      <w:r>
        <w:t xml:space="preserve">Final Thoughts</w:t>
      </w:r>
    </w:p>
    <w:p>
      <w:pPr>
        <w:pStyle w:val="FirstParagraph"/>
      </w:pPr>
      <w:r>
        <w:t xml:space="preserve">The crypto inheritance problem is solvable, but only with foresight. Without preparation, heirs may lose access permanently. With a structured approach—combining legal planning, custody solutions, tax strategy, and on-chain tools—investors can secure their digital legacies.</w:t>
      </w:r>
    </w:p>
    <w:p>
      <w:pPr>
        <w:pStyle w:val="BodyText"/>
      </w:pPr>
      <w:r>
        <w:rPr>
          <w:bCs/>
          <w:b/>
        </w:rPr>
        <w:t xml:space="preserve">Action items for crypto holders</w:t>
      </w:r>
      <w:r>
        <w:t xml:space="preserve">:</w:t>
      </w:r>
      <w:r>
        <w:t xml:space="preserve"> </w:t>
      </w:r>
      <w:r>
        <w:t xml:space="preserve">1. Document holdings and custody structures clearly.</w:t>
      </w:r>
      <w:r>
        <w:br/>
      </w:r>
      <w:r>
        <w:t xml:space="preserve">2. Engage estate planning professionals familiar with crypto.</w:t>
      </w:r>
      <w:r>
        <w:br/>
      </w:r>
      <w:r>
        <w:t xml:space="preserve">3. Use multisig or time-lock wallets for automatic inheritance protocols.</w:t>
      </w:r>
      <w:r>
        <w:br/>
      </w:r>
      <w:r>
        <w:t xml:space="preserve">4. Review tax implications by jurisdiction.</w:t>
      </w:r>
      <w:r>
        <w:br/>
      </w:r>
      <w:r>
        <w:t xml:space="preserve">5. Update plans regularly as laws and family circumstances change.</w:t>
      </w:r>
    </w:p>
    <w:p>
      <w:pPr>
        <w:pStyle w:val="BodyText"/>
      </w:pPr>
      <w:r>
        <w:t xml:space="preserve">Crypto is borderless, but inheritance is not. The best strategy bridges both worlds, ensuring digital wealth survives beyond its first generation.</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2025-08-29T08:15:33Z</dcterms:created>
  <dcterms:modified xsi:type="dcterms:W3CDTF">2025-08-29T08:15:33Z</dcterms:modified>
</cp:coreProperties>
</file>

<file path=docProps/custom.xml><?xml version="1.0" encoding="utf-8"?>
<Properties xmlns="http://schemas.openxmlformats.org/officeDocument/2006/custom-properties" xmlns:vt="http://schemas.openxmlformats.org/officeDocument/2006/docPropsVTypes"/>
</file>