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b2b504b5e084791680e14e88ae545bea4d5158"/>
    <w:p>
      <w:pPr>
        <w:pStyle w:val="Heading1"/>
      </w:pPr>
      <w:r>
        <w:t xml:space="preserve">Institutional Crypto Adoption: What Retail Investors Need to Know</w:t>
      </w:r>
    </w:p>
    <w:p>
      <w:pPr>
        <w:pStyle w:val="FirstParagraph"/>
      </w:pPr>
      <w:r>
        <w:t xml:space="preserve">Institutional adoption of crypto is no longer speculative—it’s happening. From corporate treasuries to pension funds and endowments, large players are stepping in. This changes market structure, liquidity, and retail strategy.</w:t>
      </w:r>
    </w:p>
    <w:p>
      <w:r>
        <w:pict>
          <v:rect style="width:0;height:1.5pt" o:hralign="center" o:hrstd="t" o:hr="t"/>
        </w:pict>
      </w:r>
    </w:p>
    <w:bookmarkStart w:id="20" w:name="corporate-treasury-adoption-trends"/>
    <w:p>
      <w:pPr>
        <w:pStyle w:val="Heading2"/>
      </w:pPr>
      <w:r>
        <w:t xml:space="preserve">1. Corporate Treasury Adoption Trends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Public companies hold ~951,000 BTC</w:t>
      </w:r>
      <w:r>
        <w:t xml:space="preserve"> </w:t>
      </w:r>
      <w:r>
        <w:t xml:space="preserve">(worth over $100bn at 2025 prices).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Firms like MicroStrategy, Tesla, and others pioneered, but now Fortune 500 corporates are experimenting.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FASB fair-value accounting rule (2025)</w:t>
      </w:r>
      <w:r>
        <w:t xml:space="preserve"> </w:t>
      </w:r>
      <w:r>
        <w:t xml:space="preserve">makes it easier for companies to report crypto on balance sheets, removing impairment accounting headaches.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Corporate adoption increases Bitcoin’s legitimacy and reduces available float.</w:t>
      </w:r>
    </w:p>
    <w:p>
      <w:r>
        <w:pict>
          <v:rect style="width:0;height:1.5pt" o:hralign="center" o:hrstd="t" o:hr="t"/>
        </w:pict>
      </w:r>
    </w:p>
    <w:bookmarkEnd w:id="20"/>
    <w:bookmarkStart w:id="21" w:name="pension-fund-and-endowment-strategies"/>
    <w:p>
      <w:pPr>
        <w:pStyle w:val="Heading2"/>
      </w:pPr>
      <w:r>
        <w:t xml:space="preserve">2. Pension Fund and Endowment Strategies</w:t>
      </w:r>
    </w:p>
    <w:p>
      <w:pPr>
        <w:numPr>
          <w:ilvl w:val="0"/>
          <w:numId w:val="1002"/>
        </w:numPr>
        <w:pStyle w:val="Compact"/>
      </w:pPr>
      <w:r>
        <w:t xml:space="preserve">Historically cautious, but ETFs provide a compliant entry point.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Still &lt;5% of ETF flows, but growing: Harvard, Wisconsin Pension Fund, and Abu Dhabi’s Mubadala fund disclosed positions.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Diversification goals and low correlation attract long-horizon investors.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Slow-moving but significant pools of capital will underpin long-term price stability.</w:t>
      </w:r>
    </w:p>
    <w:p>
      <w:r>
        <w:pict>
          <v:rect style="width:0;height:1.5pt" o:hralign="center" o:hrstd="t" o:hr="t"/>
        </w:pict>
      </w:r>
    </w:p>
    <w:bookmarkEnd w:id="21"/>
    <w:bookmarkStart w:id="22" w:name="market-structure-changes"/>
    <w:p>
      <w:pPr>
        <w:pStyle w:val="Heading2"/>
      </w:pPr>
      <w:r>
        <w:t xml:space="preserve">3. Market Structure Changes</w:t>
      </w:r>
    </w:p>
    <w:p>
      <w:pPr>
        <w:numPr>
          <w:ilvl w:val="0"/>
          <w:numId w:val="1003"/>
        </w:numPr>
        <w:pStyle w:val="Compact"/>
      </w:pPr>
      <w:r>
        <w:t xml:space="preserve">ETFs concentrate liquidity into regulated venues like BlackRock, Fidelity, Ark.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Trading volumes are moving from offshore exchanges to U.S.-regulated custodians.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Corporate treasuries lock up supply, contributing to reduced liquidity.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Liquidity is deeper but more centralized. Market manipulation risks shrink, but systemic concentration risk rises.</w:t>
      </w:r>
    </w:p>
    <w:p>
      <w:r>
        <w:pict>
          <v:rect style="width:0;height:1.5pt" o:hralign="center" o:hrstd="t" o:hr="t"/>
        </w:pict>
      </w:r>
    </w:p>
    <w:bookmarkEnd w:id="22"/>
    <w:bookmarkStart w:id="23" w:name="liquidity-and-volatility-impacts"/>
    <w:p>
      <w:pPr>
        <w:pStyle w:val="Heading2"/>
      </w:pPr>
      <w:r>
        <w:t xml:space="preserve">4. Liquidity and Volatility Impacts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Stabilization</w:t>
      </w:r>
      <w:r>
        <w:t xml:space="preserve">: Institutional flows dampen extreme volatility.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Amplification</w:t>
      </w:r>
      <w:r>
        <w:t xml:space="preserve">: Supply crunch (ETFs + treasuries) can amplify upward moves.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ETF inflows act as a</w:t>
      </w:r>
      <w:r>
        <w:t xml:space="preserve"> </w:t>
      </w:r>
      <w:r>
        <w:t xml:space="preserve">“</w:t>
      </w:r>
      <w:r>
        <w:t xml:space="preserve">cushion</w:t>
      </w:r>
      <w:r>
        <w:t xml:space="preserve">”</w:t>
      </w:r>
      <w:r>
        <w:t xml:space="preserve"> </w:t>
      </w:r>
      <w:r>
        <w:t xml:space="preserve">against whale sell-offs.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Expect fewer 80% drawdowns, but sharper bull runs when demand spikes.</w:t>
      </w:r>
    </w:p>
    <w:p>
      <w:r>
        <w:pict>
          <v:rect style="width:0;height:1.5pt" o:hralign="center" o:hrstd="t" o:hr="t"/>
        </w:pict>
      </w:r>
    </w:p>
    <w:bookmarkEnd w:id="23"/>
    <w:bookmarkStart w:id="24" w:name="retail-positioning-strategies"/>
    <w:p>
      <w:pPr>
        <w:pStyle w:val="Heading2"/>
      </w:pPr>
      <w:r>
        <w:t xml:space="preserve">5. Retail Positioning Strategies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Track institutional flows</w:t>
      </w:r>
      <w:r>
        <w:t xml:space="preserve">: monitor ETF inflows/outflows and treasury disclosures.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Balance ETFs and direct holdings</w:t>
      </w:r>
      <w:r>
        <w:t xml:space="preserve">: use ETFs in retirement accounts, direct BTC for sovereignty and DeFi.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Adjust time horizons</w:t>
      </w:r>
      <w:r>
        <w:t xml:space="preserve">: institutions think in 5–10 year cycles, not weeks. Retail investors should align strategies.</w:t>
      </w:r>
    </w:p>
    <w:p>
      <w:r>
        <w:pict>
          <v:rect style="width:0;height:1.5pt" o:hralign="center" o:hrstd="t" o:hr="t"/>
        </w:pict>
      </w:r>
    </w:p>
    <w:bookmarkEnd w:id="24"/>
    <w:bookmarkStart w:id="25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Institutions are reshaping crypto. Retail investors don’t compete—they adapt. The smartest retail strategy now is hybrid: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ETFs for long-term exposure in traditional accounts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Direct holdings for optionality in DeFi and self-custody</w:t>
      </w:r>
      <w:r>
        <w:t xml:space="preserve">.</w:t>
      </w:r>
    </w:p>
    <w:p>
      <w:pPr>
        <w:pStyle w:val="BodyText"/>
      </w:pPr>
      <w:r>
        <w:t xml:space="preserve">The entry of institutions doesn’t end opportunity; it transforms it.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2025-08-29T07:59:52Z</dcterms:created>
  <dcterms:modified xsi:type="dcterms:W3CDTF">2025-08-29T07:59:52Z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