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ec84b12b1576fe00b1582b5567cf99d2680e0a"/>
    <w:p>
      <w:pPr>
        <w:pStyle w:val="Heading1"/>
      </w:pPr>
      <w:r>
        <w:t xml:space="preserve">Real-World Asset Tokenization: The $16 Trillion Opportunity</w:t>
      </w:r>
    </w:p>
    <w:p>
      <w:pPr>
        <w:pStyle w:val="FirstParagraph"/>
      </w:pPr>
      <w:r>
        <w:t xml:space="preserve">Tokenization of real-world assets (RWAs) is emerging as one of the largest growth opportunities in crypto. From real estate to commodities and debt markets, analysts project up to</w:t>
      </w:r>
      <w:r>
        <w:t xml:space="preserve"> </w:t>
      </w:r>
      <w:r>
        <w:rPr>
          <w:bCs/>
          <w:b/>
        </w:rPr>
        <w:t xml:space="preserve">$16 trillion in tokenized assets by 2030</w:t>
      </w:r>
      <w:r>
        <w:t xml:space="preserve">. This trend is reshaping yield generation, portfolio diversification, and compliance frameworks.</w:t>
      </w:r>
    </w:p>
    <w:p>
      <w:r>
        <w:pict>
          <v:rect style="width:0;height:1.5pt" o:hralign="center" o:hrstd="t" o:hr="t"/>
        </w:pict>
      </w:r>
    </w:p>
    <w:bookmarkStart w:id="20" w:name="X68e7a5c81222ea749d3ea71a557d384dbb2eb20"/>
    <w:p>
      <w:pPr>
        <w:pStyle w:val="Heading2"/>
      </w:pPr>
      <w:r>
        <w:t xml:space="preserve">1. Real Estate, Commodities, and Debt Tokenization</w:t>
      </w:r>
    </w:p>
    <w:p>
      <w:pPr>
        <w:numPr>
          <w:ilvl w:val="0"/>
          <w:numId w:val="1001"/>
        </w:numPr>
        <w:pStyle w:val="Compact"/>
      </w:pPr>
      <w:r>
        <w:rPr>
          <w:bCs/>
          <w:b/>
        </w:rPr>
        <w:t xml:space="preserve">Real estate</w:t>
      </w:r>
    </w:p>
    <w:p>
      <w:pPr>
        <w:numPr>
          <w:ilvl w:val="1"/>
          <w:numId w:val="1002"/>
        </w:numPr>
        <w:pStyle w:val="Compact"/>
      </w:pPr>
      <w:r>
        <w:t xml:space="preserve">Fractionalized ownership of properties allows global investors to buy shares of commercial buildings, vacation homes, or rental properties.</w:t>
      </w:r>
      <w:r>
        <w:br/>
      </w:r>
    </w:p>
    <w:p>
      <w:pPr>
        <w:numPr>
          <w:ilvl w:val="1"/>
          <w:numId w:val="1002"/>
        </w:numPr>
        <w:pStyle w:val="Compact"/>
      </w:pPr>
      <w:r>
        <w:t xml:space="preserve">Platforms tokenize income streams like rent into yield-bearing tokens.</w:t>
      </w:r>
    </w:p>
    <w:p>
      <w:pPr>
        <w:numPr>
          <w:ilvl w:val="0"/>
          <w:numId w:val="1001"/>
        </w:numPr>
        <w:pStyle w:val="Compact"/>
      </w:pPr>
      <w:r>
        <w:rPr>
          <w:bCs/>
          <w:b/>
        </w:rPr>
        <w:t xml:space="preserve">Commodities</w:t>
      </w:r>
    </w:p>
    <w:p>
      <w:pPr>
        <w:numPr>
          <w:ilvl w:val="1"/>
          <w:numId w:val="1003"/>
        </w:numPr>
        <w:pStyle w:val="Compact"/>
      </w:pPr>
      <w:r>
        <w:t xml:space="preserve">Gold, silver, carbon credits, and even fine wine are being tokenized.</w:t>
      </w:r>
      <w:r>
        <w:br/>
      </w:r>
    </w:p>
    <w:p>
      <w:pPr>
        <w:numPr>
          <w:ilvl w:val="1"/>
          <w:numId w:val="1003"/>
        </w:numPr>
        <w:pStyle w:val="Compact"/>
      </w:pPr>
      <w:r>
        <w:t xml:space="preserve">Tokenized commodities provide on-chain exposure without physical delivery.</w:t>
      </w:r>
    </w:p>
    <w:p>
      <w:pPr>
        <w:numPr>
          <w:ilvl w:val="0"/>
          <w:numId w:val="1001"/>
        </w:numPr>
        <w:pStyle w:val="Compact"/>
      </w:pPr>
      <w:r>
        <w:rPr>
          <w:bCs/>
          <w:b/>
        </w:rPr>
        <w:t xml:space="preserve">Debt markets</w:t>
      </w:r>
    </w:p>
    <w:p>
      <w:pPr>
        <w:numPr>
          <w:ilvl w:val="1"/>
          <w:numId w:val="1004"/>
        </w:numPr>
        <w:pStyle w:val="Compact"/>
      </w:pPr>
      <w:r>
        <w:t xml:space="preserve">Treasuries, corporate bonds, and money market funds are now tokenized.</w:t>
      </w:r>
      <w:r>
        <w:br/>
      </w:r>
    </w:p>
    <w:p>
      <w:pPr>
        <w:numPr>
          <w:ilvl w:val="1"/>
          <w:numId w:val="1004"/>
        </w:numPr>
        <w:pStyle w:val="Compact"/>
      </w:pPr>
      <w:r>
        <w:t xml:space="preserve">Firms like BlackRock and Goldman Sachs are piloting tokenized MMFs.</w:t>
      </w:r>
    </w:p>
    <w:p>
      <w:pPr>
        <w:pStyle w:val="FirstParagraph"/>
      </w:pPr>
      <w:r>
        <w:rPr>
          <w:bCs/>
          <w:b/>
        </w:rPr>
        <w:t xml:space="preserve">Impact</w:t>
      </w:r>
      <w:r>
        <w:t xml:space="preserve">: Tokenization expands access and liquidity for historically illiquid or exclusive asset classes.</w:t>
      </w:r>
    </w:p>
    <w:p>
      <w:r>
        <w:pict>
          <v:rect style="width:0;height:1.5pt" o:hralign="center" o:hrstd="t" o:hr="t"/>
        </w:pict>
      </w:r>
    </w:p>
    <w:bookmarkEnd w:id="20"/>
    <w:bookmarkStart w:id="21" w:name="yield-opportunities-and-risk-assessment"/>
    <w:p>
      <w:pPr>
        <w:pStyle w:val="Heading2"/>
      </w:pPr>
      <w:r>
        <w:t xml:space="preserve">2. Yield Opportunities and Risk Assessment</w:t>
      </w:r>
    </w:p>
    <w:p>
      <w:pPr>
        <w:numPr>
          <w:ilvl w:val="0"/>
          <w:numId w:val="1005"/>
        </w:numPr>
        <w:pStyle w:val="Compact"/>
      </w:pPr>
      <w:r>
        <w:rPr>
          <w:bCs/>
          <w:b/>
        </w:rPr>
        <w:t xml:space="preserve">Yield drivers</w:t>
      </w:r>
    </w:p>
    <w:p>
      <w:pPr>
        <w:numPr>
          <w:ilvl w:val="1"/>
          <w:numId w:val="1006"/>
        </w:numPr>
        <w:pStyle w:val="Compact"/>
      </w:pPr>
      <w:r>
        <w:t xml:space="preserve">Rental income from tokenized real estate.</w:t>
      </w:r>
      <w:r>
        <w:br/>
      </w:r>
    </w:p>
    <w:p>
      <w:pPr>
        <w:numPr>
          <w:ilvl w:val="1"/>
          <w:numId w:val="1006"/>
        </w:numPr>
        <w:pStyle w:val="Compact"/>
      </w:pPr>
      <w:r>
        <w:t xml:space="preserve">Coupon payments from tokenized Treasuries.</w:t>
      </w:r>
      <w:r>
        <w:br/>
      </w:r>
    </w:p>
    <w:p>
      <w:pPr>
        <w:numPr>
          <w:ilvl w:val="1"/>
          <w:numId w:val="1006"/>
        </w:numPr>
        <w:pStyle w:val="Compact"/>
      </w:pPr>
      <w:r>
        <w:t xml:space="preserve">Arbitrage between on-chain yields and off-chain instruments.</w:t>
      </w:r>
    </w:p>
    <w:p>
      <w:pPr>
        <w:numPr>
          <w:ilvl w:val="0"/>
          <w:numId w:val="1005"/>
        </w:numPr>
        <w:pStyle w:val="Compact"/>
      </w:pPr>
      <w:r>
        <w:rPr>
          <w:bCs/>
          <w:b/>
        </w:rPr>
        <w:t xml:space="preserve">Risks</w:t>
      </w:r>
    </w:p>
    <w:p>
      <w:pPr>
        <w:numPr>
          <w:ilvl w:val="1"/>
          <w:numId w:val="1007"/>
        </w:numPr>
        <w:pStyle w:val="Compact"/>
      </w:pPr>
      <w:r>
        <w:rPr>
          <w:bCs/>
          <w:b/>
        </w:rPr>
        <w:t xml:space="preserve">Liquidity risk</w:t>
      </w:r>
      <w:r>
        <w:t xml:space="preserve">: secondary markets for tokenized assets are thin.</w:t>
      </w:r>
      <w:r>
        <w:br/>
      </w:r>
    </w:p>
    <w:p>
      <w:pPr>
        <w:numPr>
          <w:ilvl w:val="1"/>
          <w:numId w:val="1007"/>
        </w:numPr>
        <w:pStyle w:val="Compact"/>
      </w:pPr>
      <w:r>
        <w:rPr>
          <w:bCs/>
          <w:b/>
        </w:rPr>
        <w:t xml:space="preserve">Regulatory risk</w:t>
      </w:r>
      <w:r>
        <w:t xml:space="preserve">: securities law compliance varies by jurisdiction.</w:t>
      </w:r>
      <w:r>
        <w:br/>
      </w:r>
    </w:p>
    <w:p>
      <w:pPr>
        <w:numPr>
          <w:ilvl w:val="1"/>
          <w:numId w:val="1007"/>
        </w:numPr>
        <w:pStyle w:val="Compact"/>
      </w:pPr>
      <w:r>
        <w:rPr>
          <w:bCs/>
          <w:b/>
        </w:rPr>
        <w:t xml:space="preserve">Custody risk</w:t>
      </w:r>
      <w:r>
        <w:t xml:space="preserve">: token holders rely on custodians to safeguard off-chain assets.</w:t>
      </w:r>
    </w:p>
    <w:p>
      <w:pPr>
        <w:pStyle w:val="FirstParagraph"/>
      </w:pPr>
      <w:r>
        <w:rPr>
          <w:bCs/>
          <w:b/>
        </w:rPr>
        <w:t xml:space="preserve">Impact</w:t>
      </w:r>
      <w:r>
        <w:t xml:space="preserve">: While yields can be attractive, risk-adjusted returns depend heavily on platform trust and legal clarity.</w:t>
      </w:r>
    </w:p>
    <w:p>
      <w:r>
        <w:pict>
          <v:rect style="width:0;height:1.5pt" o:hralign="center" o:hrstd="t" o:hr="t"/>
        </w:pict>
      </w:r>
    </w:p>
    <w:bookmarkEnd w:id="21"/>
    <w:bookmarkStart w:id="22" w:name="regulatory-compliance-requirements"/>
    <w:p>
      <w:pPr>
        <w:pStyle w:val="Heading2"/>
      </w:pPr>
      <w:r>
        <w:t xml:space="preserve">3. Regulatory Compliance Requirements</w:t>
      </w:r>
    </w:p>
    <w:p>
      <w:pPr>
        <w:numPr>
          <w:ilvl w:val="0"/>
          <w:numId w:val="1008"/>
        </w:numPr>
        <w:pStyle w:val="Compact"/>
      </w:pPr>
      <w:r>
        <w:rPr>
          <w:bCs/>
          <w:b/>
        </w:rPr>
        <w:t xml:space="preserve">Securities law</w:t>
      </w:r>
    </w:p>
    <w:p>
      <w:pPr>
        <w:numPr>
          <w:ilvl w:val="1"/>
          <w:numId w:val="1009"/>
        </w:numPr>
        <w:pStyle w:val="Compact"/>
      </w:pPr>
      <w:r>
        <w:t xml:space="preserve">Most tokenized RWAs fall under existing securities frameworks (Reg D, Reg A in the U.S.; MiFID II in the EU).</w:t>
      </w:r>
      <w:r>
        <w:br/>
      </w:r>
    </w:p>
    <w:p>
      <w:pPr>
        <w:numPr>
          <w:ilvl w:val="0"/>
          <w:numId w:val="1008"/>
        </w:numPr>
        <w:pStyle w:val="Compact"/>
      </w:pPr>
      <w:r>
        <w:rPr>
          <w:bCs/>
          <w:b/>
        </w:rPr>
        <w:t xml:space="preserve">AML/KYC</w:t>
      </w:r>
    </w:p>
    <w:p>
      <w:pPr>
        <w:numPr>
          <w:ilvl w:val="1"/>
          <w:numId w:val="1010"/>
        </w:numPr>
        <w:pStyle w:val="Compact"/>
      </w:pPr>
      <w:r>
        <w:t xml:space="preserve">Platforms must onboard investors under strict AML/KYC rules.</w:t>
      </w:r>
      <w:r>
        <w:br/>
      </w:r>
    </w:p>
    <w:p>
      <w:pPr>
        <w:numPr>
          <w:ilvl w:val="0"/>
          <w:numId w:val="1008"/>
        </w:numPr>
        <w:pStyle w:val="Compact"/>
      </w:pPr>
      <w:r>
        <w:rPr>
          <w:bCs/>
          <w:b/>
        </w:rPr>
        <w:t xml:space="preserve">Cross-border compliance</w:t>
      </w:r>
    </w:p>
    <w:p>
      <w:pPr>
        <w:numPr>
          <w:ilvl w:val="1"/>
          <w:numId w:val="1011"/>
        </w:numPr>
        <w:pStyle w:val="Compact"/>
      </w:pPr>
      <w:r>
        <w:t xml:space="preserve">FATF Travel Rule applies to many tokenized asset transfers.</w:t>
      </w:r>
    </w:p>
    <w:p>
      <w:pPr>
        <w:pStyle w:val="FirstParagraph"/>
      </w:pPr>
      <w:r>
        <w:rPr>
          <w:bCs/>
          <w:b/>
        </w:rPr>
        <w:t xml:space="preserve">Impact</w:t>
      </w:r>
      <w:r>
        <w:t xml:space="preserve">: Tokenization is not a loophole; it requires as much compliance as traditional finance.</w:t>
      </w:r>
    </w:p>
    <w:p>
      <w:r>
        <w:pict>
          <v:rect style="width:0;height:1.5pt" o:hralign="center" o:hrstd="t" o:hr="t"/>
        </w:pict>
      </w:r>
    </w:p>
    <w:bookmarkEnd w:id="22"/>
    <w:bookmarkStart w:id="23" w:name="platform-comparison-and-due-diligence"/>
    <w:p>
      <w:pPr>
        <w:pStyle w:val="Heading2"/>
      </w:pPr>
      <w:r>
        <w:t xml:space="preserve">4. Platform Comparison and Due Diligence</w:t>
      </w:r>
    </w:p>
    <w:p>
      <w:pPr>
        <w:numPr>
          <w:ilvl w:val="0"/>
          <w:numId w:val="1012"/>
        </w:numPr>
        <w:pStyle w:val="Compact"/>
      </w:pPr>
      <w:r>
        <w:rPr>
          <w:bCs/>
          <w:b/>
        </w:rPr>
        <w:t xml:space="preserve">Securitize</w:t>
      </w:r>
      <w:r>
        <w:t xml:space="preserve">: strong U.S. regulatory credentials; partnerships with BlackRock.</w:t>
      </w:r>
      <w:r>
        <w:br/>
      </w:r>
    </w:p>
    <w:p>
      <w:pPr>
        <w:numPr>
          <w:ilvl w:val="0"/>
          <w:numId w:val="1012"/>
        </w:numPr>
        <w:pStyle w:val="Compact"/>
      </w:pPr>
      <w:r>
        <w:rPr>
          <w:bCs/>
          <w:b/>
        </w:rPr>
        <w:t xml:space="preserve">Tokeny</w:t>
      </w:r>
      <w:r>
        <w:t xml:space="preserve">: EU-focused with MiCA alignment.</w:t>
      </w:r>
      <w:r>
        <w:br/>
      </w:r>
    </w:p>
    <w:p>
      <w:pPr>
        <w:numPr>
          <w:ilvl w:val="0"/>
          <w:numId w:val="1012"/>
        </w:numPr>
        <w:pStyle w:val="Compact"/>
      </w:pPr>
      <w:r>
        <w:rPr>
          <w:bCs/>
          <w:b/>
        </w:rPr>
        <w:t xml:space="preserve">InvestaX</w:t>
      </w:r>
      <w:r>
        <w:t xml:space="preserve">: Asia-focused with MAS licensing.</w:t>
      </w:r>
    </w:p>
    <w:p>
      <w:pPr>
        <w:pStyle w:val="FirstParagraph"/>
      </w:pPr>
      <w:r>
        <w:rPr>
          <w:bCs/>
          <w:b/>
        </w:rPr>
        <w:t xml:space="preserve">Due diligence factors</w:t>
      </w:r>
      <w:r>
        <w:br/>
      </w:r>
      <w:r>
        <w:t xml:space="preserve">- Regulatory licensing.</w:t>
      </w:r>
      <w:r>
        <w:br/>
      </w:r>
      <w:r>
        <w:t xml:space="preserve">- Custody arrangements.</w:t>
      </w:r>
      <w:r>
        <w:br/>
      </w:r>
      <w:r>
        <w:t xml:space="preserve">- Transparency of reserve backing.</w:t>
      </w:r>
      <w:r>
        <w:br/>
      </w:r>
      <w:r>
        <w:t xml:space="preserve">- Secondary market liquidity.</w:t>
      </w:r>
    </w:p>
    <w:p>
      <w:r>
        <w:pict>
          <v:rect style="width:0;height:1.5pt" o:hralign="center" o:hrstd="t" o:hr="t"/>
        </w:pict>
      </w:r>
    </w:p>
    <w:bookmarkEnd w:id="23"/>
    <w:bookmarkStart w:id="24" w:name="portfolio-integration-strategies"/>
    <w:p>
      <w:pPr>
        <w:pStyle w:val="Heading2"/>
      </w:pPr>
      <w:r>
        <w:t xml:space="preserve">5. Portfolio Integration Strategies</w:t>
      </w:r>
    </w:p>
    <w:p>
      <w:pPr>
        <w:numPr>
          <w:ilvl w:val="0"/>
          <w:numId w:val="1013"/>
        </w:numPr>
        <w:pStyle w:val="Compact"/>
      </w:pPr>
      <w:r>
        <w:rPr>
          <w:bCs/>
          <w:b/>
        </w:rPr>
        <w:t xml:space="preserve">Diversification</w:t>
      </w:r>
    </w:p>
    <w:p>
      <w:pPr>
        <w:numPr>
          <w:ilvl w:val="1"/>
          <w:numId w:val="1014"/>
        </w:numPr>
        <w:pStyle w:val="Compact"/>
      </w:pPr>
      <w:r>
        <w:t xml:space="preserve">RWAs provide exposure to traditional assets with blockchain benefits.</w:t>
      </w:r>
      <w:r>
        <w:br/>
      </w:r>
    </w:p>
    <w:p>
      <w:pPr>
        <w:numPr>
          <w:ilvl w:val="0"/>
          <w:numId w:val="1013"/>
        </w:numPr>
        <w:pStyle w:val="Compact"/>
      </w:pPr>
      <w:r>
        <w:rPr>
          <w:bCs/>
          <w:b/>
        </w:rPr>
        <w:t xml:space="preserve">Liquidity layering</w:t>
      </w:r>
    </w:p>
    <w:p>
      <w:pPr>
        <w:numPr>
          <w:ilvl w:val="1"/>
          <w:numId w:val="1015"/>
        </w:numPr>
        <w:pStyle w:val="Compact"/>
      </w:pPr>
      <w:r>
        <w:t xml:space="preserve">Combine liquid crypto with less-liquid RWAs for balance.</w:t>
      </w:r>
      <w:r>
        <w:br/>
      </w:r>
    </w:p>
    <w:p>
      <w:pPr>
        <w:numPr>
          <w:ilvl w:val="0"/>
          <w:numId w:val="1013"/>
        </w:numPr>
        <w:pStyle w:val="Compact"/>
      </w:pPr>
      <w:r>
        <w:rPr>
          <w:bCs/>
          <w:b/>
        </w:rPr>
        <w:t xml:space="preserve">Yield stacking</w:t>
      </w:r>
    </w:p>
    <w:p>
      <w:pPr>
        <w:numPr>
          <w:ilvl w:val="1"/>
          <w:numId w:val="1016"/>
        </w:numPr>
        <w:pStyle w:val="Compact"/>
      </w:pPr>
      <w:r>
        <w:t xml:space="preserve">Tokenized Treasuries can serve as base yield; crypto-native DeFi adds alpha.</w:t>
      </w:r>
      <w:r>
        <w:br/>
      </w:r>
    </w:p>
    <w:p>
      <w:pPr>
        <w:numPr>
          <w:ilvl w:val="0"/>
          <w:numId w:val="1013"/>
        </w:numPr>
        <w:pStyle w:val="Compact"/>
      </w:pPr>
      <w:r>
        <w:rPr>
          <w:bCs/>
          <w:b/>
        </w:rPr>
        <w:t xml:space="preserve">Jurisdictional arbitrage</w:t>
      </w:r>
    </w:p>
    <w:p>
      <w:pPr>
        <w:numPr>
          <w:ilvl w:val="1"/>
          <w:numId w:val="1017"/>
        </w:numPr>
        <w:pStyle w:val="Compact"/>
      </w:pPr>
      <w:r>
        <w:t xml:space="preserve">Investors may prefer platforms aligned with their local regulations.</w:t>
      </w:r>
    </w:p>
    <w:p>
      <w:r>
        <w:pict>
          <v:rect style="width:0;height:1.5pt" o:hralign="center" o:hrstd="t" o:hr="t"/>
        </w:pict>
      </w:r>
    </w:p>
    <w:bookmarkEnd w:id="24"/>
    <w:bookmarkStart w:id="25" w:name="final-thoughts"/>
    <w:p>
      <w:pPr>
        <w:pStyle w:val="Heading2"/>
      </w:pPr>
      <w:r>
        <w:t xml:space="preserve">Final Thoughts</w:t>
      </w:r>
    </w:p>
    <w:p>
      <w:pPr>
        <w:pStyle w:val="FirstParagraph"/>
      </w:pPr>
      <w:r>
        <w:t xml:space="preserve">RWA tokenization is not science fiction—it’s already happening. The opportunity is enormous, but so are the risks. For investors, success lies in careful platform selection, jurisdictional awareness, and treating tokenized RWAs as part of a</w:t>
      </w:r>
      <w:r>
        <w:t xml:space="preserve"> </w:t>
      </w:r>
      <w:r>
        <w:rPr>
          <w:bCs/>
          <w:b/>
        </w:rPr>
        <w:t xml:space="preserve">balanced multi-asset portfolio</w:t>
      </w:r>
      <w:r>
        <w:t xml:space="preserve">.</w:t>
      </w:r>
    </w:p>
    <w:p>
      <w:pPr>
        <w:pStyle w:val="BodyText"/>
      </w:pPr>
      <w:r>
        <w:t xml:space="preserve">The $16 trillion forecast may sound ambitious, but with institutions piloting tokenized Treasuries and real estate, it may prove conservative.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2025-08-29T08:06:51Z</dcterms:created>
  <dcterms:modified xsi:type="dcterms:W3CDTF">2025-08-29T08:06:51Z</dcterms:modified>
</cp:coreProperties>
</file>

<file path=docProps/custom.xml><?xml version="1.0" encoding="utf-8"?>
<Properties xmlns="http://schemas.openxmlformats.org/officeDocument/2006/custom-properties" xmlns:vt="http://schemas.openxmlformats.org/officeDocument/2006/docPropsVTypes"/>
</file>