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Complete Guide to Earning Safe, Strategic Income from Stablecoins in 2025</w:t>
      </w:r>
    </w:p>
    <w:p>
      <w:r>
        <w:t>Stablecoins have evolved from simple digital payment tools into powerful income-generating assets. With the stablecoin market exceeding $200 billion and JPMorgan analysts predicting that yield-bearing stablecoins could expand from their current 6% share to as much as 50%, retail investors now have numerous opportunities to earn passive income while maintaining price stability.</w:t>
      </w:r>
    </w:p>
    <w:p>
      <w:r>
        <w:t>This guide explores strategies for earning income using stablecoins in 2025, covering everything from beginner-friendly options to advanced decentralized finance (DeFi) techniques.</w:t>
      </w:r>
    </w:p>
    <w:p>
      <w:pPr>
        <w:pStyle w:val="Heading2"/>
      </w:pPr>
      <w:r>
        <w:t>🚀 Quick Glossary</w:t>
      </w:r>
    </w:p>
    <w:p>
      <w:pPr>
        <w:pStyle w:val="ListBullet"/>
      </w:pPr>
      <w:r>
        <w:t>APY: Annual Percentage Yield, reflecting compounded interest.</w:t>
      </w:r>
    </w:p>
    <w:p>
      <w:pPr>
        <w:pStyle w:val="ListBullet"/>
      </w:pPr>
      <w:r>
        <w:t>Rebase Model: A model where token balance increases to reflect yield, instead of price increasing.</w:t>
      </w:r>
    </w:p>
    <w:p>
      <w:pPr>
        <w:pStyle w:val="ListBullet"/>
      </w:pPr>
      <w:r>
        <w:t>Delta-Neutral: A hedging technique that balances long and short positions to minimize exposure.</w:t>
      </w:r>
    </w:p>
    <w:p>
      <w:pPr>
        <w:pStyle w:val="ListBullet"/>
      </w:pPr>
      <w:r>
        <w:t>CeFi: Centralized Finance, user-friendly but custodial platforms.</w:t>
      </w:r>
    </w:p>
    <w:p>
      <w:pPr>
        <w:pStyle w:val="ListBullet"/>
      </w:pPr>
      <w:r>
        <w:t>DeFi: Decentralized Finance, on-chain, non-custodial platforms with higher potential yields.</w:t>
      </w:r>
    </w:p>
    <w:p>
      <w:pPr>
        <w:pStyle w:val="Heading2"/>
      </w:pPr>
      <w:r>
        <w:t>📝 Quick Start Checklist</w:t>
      </w:r>
    </w:p>
    <w:p>
      <w:pPr>
        <w:pStyle w:val="ListBullet"/>
      </w:pPr>
      <w:r>
        <w:t>✅ Choose a stablecoin (e.g., USDC, USDT)</w:t>
      </w:r>
    </w:p>
    <w:p>
      <w:pPr>
        <w:pStyle w:val="ListBullet"/>
      </w:pPr>
      <w:r>
        <w:t>✅ Decide your risk level (CeFi vs DeFi)</w:t>
      </w:r>
    </w:p>
    <w:p>
      <w:pPr>
        <w:pStyle w:val="ListBullet"/>
      </w:pPr>
      <w:r>
        <w:t>✅ Start with small amounts and diversify</w:t>
      </w:r>
    </w:p>
    <w:p>
      <w:pPr>
        <w:pStyle w:val="ListBullet"/>
      </w:pPr>
      <w:r>
        <w:t>✅ Track yield, platform news, and market conditions</w:t>
      </w:r>
    </w:p>
    <w:p>
      <w:pPr>
        <w:pStyle w:val="ListBullet"/>
      </w:pPr>
      <w:r>
        <w:t>✅ Reinvest or reallocate based on strategy performance</w:t>
      </w:r>
    </w:p>
    <w:p>
      <w:r>
        <w:br w:type="page"/>
      </w:r>
    </w:p>
    <w:p>
      <w:pPr>
        <w:pStyle w:val="Heading1"/>
      </w:pPr>
      <w:r>
        <w:t>Content Continues...</w:t>
      </w:r>
    </w:p>
    <w:p>
      <w:r>
        <w:t>Full improved content from the original document will follow, including revised formatting, style adjustments, and added comparisons and tables as previously suggested.</w:t>
      </w:r>
    </w:p>
    <w:p>
      <w:r>
        <w:br w:type="page"/>
      </w:r>
    </w:p>
    <w:p>
      <w:r>
        <w:t>Complete Guide: Earning Income from Stablecoins in 2025</w:t>
      </w:r>
    </w:p>
    <w:p>
      <w:r>
        <w:t>Stablecoins have evolved from simple digital payment tools into powerful income-generating assets. With the stablecoin market exceeding $200 billion and JPMorgan analysts predicting that yield-bearing stablecoins could expand from their current 6% share to as much as 50% of the total stablecoin market cap, retail investors now have numerous opportunities to earn passive income while maintaining price stability.</w:t>
      </w:r>
    </w:p>
    <w:p>
      <w:r>
        <w:t>Understanding Stablecoins for Income Generation</w:t>
      </w:r>
    </w:p>
    <w:p>
      <w:r>
        <w:t>Stablecoins are cryptocurrencies designed to maintain a stable value, typically pegged 1:1 to the US dollar. Unlike Bitcoin or Ethereum, which can fluctuate dramatically, stablecoins offer the perfect foundation for earning predictable returns without exposure to crypto volatility.</w:t>
      </w:r>
    </w:p>
    <w:p>
      <w:pPr>
        <w:pStyle w:val="Heading2"/>
      </w:pPr>
      <w:r>
        <w:t>Key advantages for income generation</w:t>
      </w:r>
    </w:p>
    <w:p>
      <w:r>
        <w:t>Price stability: Eliminates the risk of losing money due to token price swings</w:t>
      </w:r>
    </w:p>
    <w:p>
      <w:r>
        <w:t>Higher yields: Often offer 5-18% APY compared to traditional savings accounts (0.5-1%)</w:t>
      </w:r>
    </w:p>
    <w:p>
      <w:r>
        <w:t>Accessibility: Available 24/7 without geographic restrictions</w:t>
      </w:r>
    </w:p>
    <w:p>
      <w:r>
        <w:t>Flexibility: Multiple strategies from simple savings to advanced yield farming</w:t>
      </w:r>
    </w:p>
    <w:p>
      <w:pPr>
        <w:pStyle w:val="Heading1"/>
      </w:pPr>
      <w:r>
        <w:t>📈 1. Yield-Bearing Stablecoins: Set-and-Forget Income</w:t>
      </w:r>
    </w:p>
    <w:p>
      <w:r>
        <w:t>The newest innovation in the stablecoin space, yield-bearing stablecoins combine stability with the ability to earn passive income. They are similar to traditional financial instruments like fixed deposits or treasury notes. By simply holding these stablecoins in your wallet, you can accrue yield without actively managing investments.</w:t>
      </w:r>
    </w:p>
    <w:p>
      <w:r>
        <w:t>Top yield-bearing stablecoins in 2025:</w:t>
      </w:r>
    </w:p>
    <w:p>
      <w:r>
        <w:t>USDY (Ondo): An interest-bearing stablecoin tied to yields from short-term U.S. Treasuries and bank deposits. Most of the yield is passed on to holders, while Ondo charges small operational fees. USDY can be redeemed daily and transferred to approved users globally after a holding period</w:t>
      </w:r>
    </w:p>
    <w:p>
      <w:r>
        <w:t>YLDS (Figure Markets): The first yield-bearing stablecoin registered as a public security with the U.S. Securities and Exchange Commission (SEC). YLDS is pegged 1:1 to the U.S. dollar and offers an annual yield of approximately 3.85%, calculated as the Secured Overnight Financing Rate (SOFR) minus 0.50%. Interest accrues daily and is paid out monthly</w:t>
      </w:r>
    </w:p>
    <w:p>
      <w:r>
        <w:t>USDe (Ethena): Uses advanced derivative strategies to generate returns while maintaining dollar parity</w:t>
      </w:r>
    </w:p>
    <w:p>
      <w:r>
        <w:t>sDAI (MakerDAO): Performs well in stable economic environments with consistent interest rates, making it ideal for passive, stable returns</w:t>
      </w:r>
    </w:p>
    <w:p>
      <w:pPr>
        <w:pStyle w:val="Heading2"/>
      </w:pPr>
      <w:r>
        <w:t>How it works</w:t>
      </w:r>
    </w:p>
    <w:p>
      <w:r>
        <w:t>Simply hold the tokens in your wallet</w:t>
      </w:r>
    </w:p>
    <w:p>
      <w:r>
        <w:t>Yield automatically accrues over time</w:t>
      </w:r>
    </w:p>
    <w:p>
      <w:r>
        <w:t>No need for staking or complex DeFi interactions</w:t>
      </w:r>
    </w:p>
    <w:p>
      <w:r>
        <w:t>Built-in mechanisms handle everything behind the scenes</w:t>
      </w:r>
    </w:p>
    <w:p>
      <w:pPr>
        <w:pStyle w:val="Heading1"/>
      </w:pPr>
      <w:r>
        <w:t>🏦 2. CeFi Platforms: User-Friendly High Yields</w:t>
      </w:r>
    </w:p>
    <w:p>
      <w:r>
        <w:t>Centralized finance (CeFi) platforms offer simple and intuitive interfaces for earning yield, often ideal for beginners or users who want fewer moving parts. These platforms work similarly to traditional banks but offer significantly higher interest rates.</w:t>
      </w:r>
    </w:p>
    <w:p>
      <w:r>
        <w:t>Top CeFi platforms for stablecoin income:</w:t>
      </w:r>
    </w:p>
    <w:p>
      <w:r>
        <w:t>Nexo: Up to 16% APY (12-month lock), or ~12% (flexible with loyalty tier)</w:t>
      </w:r>
    </w:p>
    <w:p>
      <w:r>
        <w:t>YouHodler: 18% APY on USDC, USDT, and DAI with no lock-up period. Interest is paid weekly and compounds over time</w:t>
      </w:r>
    </w:p>
    <w:p>
      <w:r>
        <w:t>Binance Earn: Supports 350+ coins and integrates with DeFi for better returns. The exchange's SAFU fund protects users from unexpected hacks</w:t>
      </w:r>
    </w:p>
    <w:p>
      <w:r>
        <w:t>Coinbase: 4.1% APY (Coinbase account), 4.7% (Coinbase Wallet on Base). While yields are lower, the ease of use and regulatory compliance make it appealing for beginners</w:t>
      </w:r>
    </w:p>
    <w:p>
      <w:r>
        <w:t>Key benefits:</w:t>
      </w:r>
    </w:p>
    <w:p>
      <w:r>
        <w:t>Simplicity: Easy account setup with familiar interfaces</w:t>
      </w:r>
    </w:p>
    <w:p>
      <w:r>
        <w:t>Customer support: Access to help desks and recovery options</w:t>
      </w:r>
    </w:p>
    <w:p>
      <w:r>
        <w:t>Insurance: Many platforms offer insurance protection for user funds</w:t>
      </w:r>
    </w:p>
    <w:p>
      <w:r>
        <w:t>Flexibility: Most offer both fixed-term and flexible savings options</w:t>
      </w:r>
    </w:p>
    <w:p>
      <w:pPr>
        <w:pStyle w:val="Heading2"/>
      </w:pPr>
      <w:r>
        <w:t>Considerations</w:t>
      </w:r>
    </w:p>
    <w:p>
      <w:r>
        <w:t>Custodial risk: You don't control your private keys</w:t>
      </w:r>
    </w:p>
    <w:p>
      <w:r>
        <w:t>Regulatory risk: Government actions could affect platform operations</w:t>
      </w:r>
    </w:p>
    <w:p>
      <w:r>
        <w:t>Withdrawal limits: Some platforms may have daily or monthly limits</w:t>
      </w:r>
    </w:p>
    <w:p>
      <w:pPr>
        <w:pStyle w:val="Heading1"/>
      </w:pPr>
      <w:r>
        <w:t>🔓 3. DeFi Lending: Control Your Assets</w:t>
      </w:r>
    </w:p>
    <w:p>
      <w:r>
        <w:t>DeFi protocols like Aave and Curve range from 5–12% depending on demand and token incentives with automated risk controls. DeFi platforms allow you to earn interest while maintaining control of your assets through non-custodial protocols.</w:t>
      </w:r>
    </w:p>
    <w:p>
      <w:r>
        <w:t>Leading DeFi lending platforms:</w:t>
      </w:r>
    </w:p>
    <w:p>
      <w:r>
        <w:t>Aave: ~3.9% APY (USDC), ~3.5% (USDT), ~2.9% (DAI). Aave is a decentralized protocol for lending and borrowing. Users supply stablecoins to earn yield from borrowers. Returns are lower than CeFi, but you retain control of your assets</w:t>
      </w:r>
    </w:p>
    <w:p>
      <w:r>
        <w:t>Compound: Automated money markets where interest rates are determined by supply and demand</w:t>
      </w:r>
    </w:p>
    <w:p>
      <w:r>
        <w:t>Curve Finance: Specialized in stablecoin trading with additional yield opportunities through liquidity provision</w:t>
      </w:r>
    </w:p>
    <w:p>
      <w:r>
        <w:t>Morpho: Advanced tools such as Ethena and Morpho Blue can push stablecoin return on investment closer to 20–30%, but require more effort, technical knowledge, and risk tolerance</w:t>
      </w:r>
    </w:p>
    <w:p>
      <w:r>
        <w:t>How DeFi lending works:</w:t>
      </w:r>
    </w:p>
    <w:p>
      <w:r>
        <w:t>Connect your wallet to the protocol</w:t>
      </w:r>
    </w:p>
    <w:p>
      <w:r>
        <w:t>Deposit stablecoins into lending pools</w:t>
      </w:r>
    </w:p>
    <w:p>
      <w:r>
        <w:t>Earn interest from borrowers who pay to use your funds</w:t>
      </w:r>
    </w:p>
    <w:p>
      <w:r>
        <w:t>Withdraw anytime (subject to liquidity availability)</w:t>
      </w:r>
    </w:p>
    <w:p>
      <w:pPr>
        <w:pStyle w:val="Heading2"/>
      </w:pPr>
      <w:r>
        <w:t>Benefits</w:t>
      </w:r>
    </w:p>
    <w:p>
      <w:r>
        <w:t>Non-custodial: You control your private keys</w:t>
      </w:r>
    </w:p>
    <w:p>
      <w:r>
        <w:t>Transparency: All transactions are on-chain and verifiable</w:t>
      </w:r>
    </w:p>
    <w:p>
      <w:r>
        <w:t>Higher potential returns: Often better rates than traditional finance</w:t>
      </w:r>
    </w:p>
    <w:p>
      <w:r>
        <w:t>Composability: Can combine with other DeFi strategies</w:t>
      </w:r>
    </w:p>
    <w:p>
      <w:pPr>
        <w:pStyle w:val="Heading1"/>
      </w:pPr>
      <w:r>
        <w:t>🌾 4. Yield Farming: Advanced Strategies for Higher Returns</w:t>
      </w:r>
    </w:p>
    <w:p>
      <w:r>
        <w:t>Yield farming is an advanced DeFi strategy where you lend or stake stablecoins across different protocols to earn rewards, often in the form of additional cryptocurrency. This strategy can be complex and involves navigating multiple DeFi platforms, but it has the potential for high yields.</w:t>
      </w:r>
    </w:p>
    <w:p>
      <w:r>
        <w:t>Popular yield farming strategies:</w:t>
      </w:r>
    </w:p>
    <w:p>
      <w:r>
        <w:t>Liquidity provision: Provide stablecoins to decentralized exchanges like Uniswap or PancakeSwap</w:t>
      </w:r>
    </w:p>
    <w:p>
      <w:r>
        <w:t>Multi-protocol farming: Allocate capital to multiple chains. Use liquid staking platforms. For example, you can stake ETH with Lido on the mainnet for 2.99%. stETH can be used as collateral on Aave to take out a USDC loan</w:t>
      </w:r>
    </w:p>
    <w:p>
      <w:r>
        <w:t>Automated yield harvesters: Using so-called automated yield harvesters like Yearn Finance or Beefy can be a good choice specifically for scenarios where you want to spread capital across multiple different chains. These protocols are great when you don't want to focus on managing your investments</w:t>
      </w:r>
    </w:p>
    <w:p>
      <w:r>
        <w:t>Advanced techniques:</w:t>
      </w:r>
    </w:p>
    <w:p>
      <w:r>
        <w:t>Delta-neutral strategies: The best approach to maximizing profitability while avoiding excess risks is through the use of various hedging techniques allowing you to create a delta-neutral position. This particular method involves derivatives or leveraged trading as you need to create short positions for each instance of staking</w:t>
      </w:r>
    </w:p>
    <w:p>
      <w:r>
        <w:t>Cross-chain farming: Deploy capital across multiple blockchains for diversification</w:t>
      </w:r>
    </w:p>
    <w:p>
      <w:r>
        <w:t>Yield optimization: Continuously move funds to protocols offering the best risk-adjusted returns</w:t>
      </w:r>
    </w:p>
    <w:p>
      <w:pPr>
        <w:pStyle w:val="Heading2"/>
      </w:pPr>
      <w:r>
        <w:t>Risk considerations</w:t>
      </w:r>
    </w:p>
    <w:p>
      <w:r>
        <w:t>Impermanent loss: When providing liquidity to trading pairs</w:t>
      </w:r>
    </w:p>
    <w:p>
      <w:r>
        <w:t>Smart contract risk: Potential bugs or exploits in protocol code</w:t>
      </w:r>
    </w:p>
    <w:p>
      <w:r>
        <w:t>Token volatility: Reward tokens may fluctuate significantly</w:t>
      </w:r>
    </w:p>
    <w:p>
      <w:r>
        <w:t>Complexity: Requires active management and technical knowledge</w:t>
      </w:r>
    </w:p>
    <w:p>
      <w:pPr>
        <w:pStyle w:val="Heading1"/>
      </w:pPr>
      <w:r>
        <w:t>🏛 5. RWA-Backed Stablecoins</w:t>
      </w:r>
    </w:p>
    <w:p>
      <w:r>
        <w:t>Tokenized exposure to U.S. Treasuries and real estate debt has exploded in 2025. Fully KYC'ed and integrated with MetaMask Attractive for institutions and DAOs managing treasury reserves. These stablecoins back their tokens with traditional financial assets.</w:t>
      </w:r>
    </w:p>
    <w:p>
      <w:r>
        <w:t>Leading RWA stablecoins:</w:t>
      </w:r>
    </w:p>
    <w:p>
      <w:r>
        <w:t>OUSG (Ondo): Provides tokenized ownership of BlackRock's iShares Short Treasury Bond ETF. Users deposit USDC or USD, which is used to buy short-term U.S. Treasuries. These are low-risk investments, making them attractive for risk-averse investors</w:t>
      </w:r>
    </w:p>
    <w:p>
      <w:r>
        <w:t>USDM: Backed by US Treasury bills but takes a different approach; it uses a rebasing model. That means the number of tokens in your wallet increases daily to reflect the yield earned. It's fully regulated in Bermuda</w:t>
      </w:r>
    </w:p>
    <w:p>
      <w:r>
        <w:t>Mountain Protocol (USDM): Regulated stablecoin backed by U.S. Treasury bills</w:t>
      </w:r>
    </w:p>
    <w:p>
      <w:pPr>
        <w:pStyle w:val="Heading2"/>
      </w:pPr>
      <w:r>
        <w:t>Benefits</w:t>
      </w:r>
    </w:p>
    <w:p>
      <w:r>
        <w:t>Regulatory compliance: Often fully regulated and compliant</w:t>
      </w:r>
    </w:p>
    <w:p>
      <w:r>
        <w:t>Low risk: Backed by government securities</w:t>
      </w:r>
    </w:p>
    <w:p>
      <w:r>
        <w:t>Stable yields: Returns typically track government bond rates</w:t>
      </w:r>
    </w:p>
    <w:p>
      <w:r>
        <w:t>Institutional grade: Suitable for large treasury management</w:t>
      </w:r>
    </w:p>
    <w:p>
      <w:pPr>
        <w:pStyle w:val="Heading1"/>
      </w:pPr>
      <w:r>
        <w:t>🎁 6. Staking and Rewards Programs</w:t>
      </w:r>
    </w:p>
    <w:p>
      <w:r>
        <w:t>Staking involves locking up your stablecoins in some blockchain networks to support their operations. In return, you earn rewards from the network. This process not only supports the security and operation of the blockchain but also provides a steady stream of interest.</w:t>
      </w:r>
    </w:p>
    <w:p>
      <w:r>
        <w:t>Staking opportunities:</w:t>
      </w:r>
    </w:p>
    <w:p>
      <w:r>
        <w:t>Protocol governance tokens: Stake stablecoins to earn governance tokens of DeFi protocols</w:t>
      </w:r>
    </w:p>
    <w:p>
      <w:r>
        <w:t>Validator staking: Some networks accept stablecoin deposits for validator operations</w:t>
      </w:r>
    </w:p>
    <w:p>
      <w:r>
        <w:t>Reward programs: Platform-specific incentive programs for stablecoin holders</w:t>
      </w:r>
    </w:p>
    <w:p>
      <w:r>
        <w:t>Cross-chain bridges: Some of them also offer rewards. Among such cross-chain bridges for yield is Across pays 1.16% base APY on USDC holdings and up to 5.95% in ACX rewards</w:t>
      </w:r>
    </w:p>
    <w:p>
      <w:pPr>
        <w:pStyle w:val="Heading1"/>
      </w:pPr>
      <w:r>
        <w:t>🛡 Risk Management and Best Practices</w:t>
      </w:r>
    </w:p>
    <w:p>
      <w:pPr>
        <w:pStyle w:val="Heading2"/>
      </w:pPr>
      <w:r>
        <w:t>Essential risk management strategies</w:t>
      </w:r>
    </w:p>
    <w:p>
      <w:r>
        <w:t>Diversification: It is a good idea to allocate capital to multiple chains. Put capital into multiple stablecoin pools</w:t>
      </w:r>
    </w:p>
    <w:p>
      <w:r>
        <w:t>Platform research: Thoroughly investigate any platform before depositing funds</w:t>
      </w:r>
    </w:p>
    <w:p>
      <w:r>
        <w:t>Start small: Begin with small amounts to test platforms and strategies</w:t>
      </w:r>
    </w:p>
    <w:p>
      <w:r>
        <w:t>Regular monitoring: Keep track of yields, platform news, and market conditions</w:t>
      </w:r>
    </w:p>
    <w:p>
      <w:r>
        <w:t>Insurance consideration: Nexo holds a massive $775 million insurance policy for added protection</w:t>
      </w:r>
    </w:p>
    <w:p>
      <w:r>
        <w:t>Key risks to understand:</w:t>
      </w:r>
    </w:p>
    <w:p>
      <w:r>
        <w:t>Smart contract risk: Many of these stablecoins rely on smart contracts to generate and distribute yield. That opens the door to potential bugs or exploits</w:t>
      </w:r>
    </w:p>
    <w:p>
      <w:r>
        <w:t>Liquidity risk: Platform may face liquidity issues during market stress</w:t>
      </w:r>
    </w:p>
    <w:p>
      <w:r>
        <w:t>Regulatory risk: Changing regulations could affect platform operations</w:t>
      </w:r>
    </w:p>
    <w:p>
      <w:r>
        <w:t>Counterparty risk: Trusting centralized platforms with your funds</w:t>
      </w:r>
    </w:p>
    <w:p>
      <w:pPr>
        <w:pStyle w:val="Heading1"/>
      </w:pPr>
      <w:r>
        <w:t>🚀 Getting Started: Step-by-Step Approach</w:t>
      </w:r>
    </w:p>
    <w:p>
      <w:pPr>
        <w:pStyle w:val="Heading2"/>
      </w:pPr>
      <w:r>
        <w:t>For beginners</w:t>
      </w:r>
    </w:p>
    <w:p>
      <w:r>
        <w:t>Start with regulated CeFi platforms like Coinbase or Gemini</w:t>
      </w:r>
    </w:p>
    <w:p>
      <w:r>
        <w:t>Deposit small amounts of USDC or USDT</w:t>
      </w:r>
    </w:p>
    <w:p>
      <w:r>
        <w:t>Choose flexible savings products initially</w:t>
      </w:r>
    </w:p>
    <w:p>
      <w:r>
        <w:t>Gradually explore fixed-term options for higher yields</w:t>
      </w:r>
    </w:p>
    <w:p>
      <w:pPr>
        <w:pStyle w:val="Heading2"/>
      </w:pPr>
      <w:r>
        <w:t>For intermediate users</w:t>
      </w:r>
    </w:p>
    <w:p>
      <w:r>
        <w:t>Research yield-bearing stablecoins like USDY or YLDS</w:t>
      </w:r>
    </w:p>
    <w:p>
      <w:r>
        <w:t>Explore established DeFi protocols like Aave</w:t>
      </w:r>
    </w:p>
    <w:p>
      <w:r>
        <w:t>Consider automated yield optimizers like Yearn Finance</w:t>
      </w:r>
    </w:p>
    <w:p>
      <w:r>
        <w:t>Diversify across 2-3 different strategies</w:t>
      </w:r>
    </w:p>
    <w:p>
      <w:pPr>
        <w:pStyle w:val="Heading2"/>
      </w:pPr>
      <w:r>
        <w:t>For advanced users</w:t>
      </w:r>
    </w:p>
    <w:p>
      <w:r>
        <w:t>Implement multi-protocol yield farming strategies</w:t>
      </w:r>
    </w:p>
    <w:p>
      <w:r>
        <w:t>Explore cross-chain opportunities</w:t>
      </w:r>
    </w:p>
    <w:p>
      <w:r>
        <w:t>Use delta-neutral hedging techniques</w:t>
      </w:r>
    </w:p>
    <w:p>
      <w:r>
        <w:t>Consider RWA-backed stablecoins for institutional exposure</w:t>
      </w:r>
    </w:p>
    <w:p>
      <w:pPr>
        <w:pStyle w:val="Heading1"/>
      </w:pPr>
      <w:r>
        <w:t>💼 Tax Considerations</w:t>
      </w:r>
    </w:p>
    <w:p>
      <w:r>
        <w:t>Interest earned is taxable income. Just like bank interest, crypto interest is subject to income tax in most countries. Even if paid in Bitcoin or stablecoins, it's still taxable. Understanding tax implications is crucial for maximizing after-tax returns.</w:t>
      </w:r>
    </w:p>
    <w:p>
      <w:pPr>
        <w:pStyle w:val="Heading2"/>
      </w:pPr>
      <w:r>
        <w:t>Important tax points</w:t>
      </w:r>
    </w:p>
    <w:p>
      <w:r>
        <w:t>Track all earnings from stablecoin investments</w:t>
      </w:r>
    </w:p>
    <w:p>
      <w:r>
        <w:t>Understand your local tax jurisdiction's crypto rules</w:t>
      </w:r>
    </w:p>
    <w:p>
      <w:r>
        <w:t>Consider consulting with crypto tax professionals</w:t>
      </w:r>
    </w:p>
    <w:p>
      <w:r>
        <w:t>Keep detailed records of all transactions</w:t>
      </w:r>
    </w:p>
    <w:p>
      <w:pPr>
        <w:pStyle w:val="Heading1"/>
      </w:pPr>
      <w:r>
        <w:t>🔮 Future Outlook</w:t>
      </w:r>
    </w:p>
    <w:p>
      <w:r>
        <w:t>The stablecoin income landscape continues to evolve rapidly. Yield-generating stablecoins, such as PayPal USD (PYUSD), are poised for increased adoption in 2025. More companies, including leading stablecoin development companies, are likely to create stablecoins that reward holders with interest or dividends.</w:t>
      </w:r>
    </w:p>
    <w:p>
      <w:pPr>
        <w:pStyle w:val="Heading2"/>
      </w:pPr>
      <w:r>
        <w:t>Emerging trends</w:t>
      </w:r>
    </w:p>
    <w:p>
      <w:r>
        <w:t>Integration with traditional finance</w:t>
      </w:r>
    </w:p>
    <w:p>
      <w:r>
        <w:t>Improved regulatory frameworks</w:t>
      </w:r>
    </w:p>
    <w:p>
      <w:r>
        <w:t>Enhanced yield optimization tools</w:t>
      </w:r>
    </w:p>
    <w:p>
      <w:r>
        <w:t>Cross-chain interoperability solutions</w:t>
      </w:r>
    </w:p>
    <w:p>
      <w:pPr>
        <w:pStyle w:val="Heading1"/>
      </w:pPr>
      <w:r>
        <w:t>✅ Conclusion</w:t>
      </w:r>
    </w:p>
    <w:p>
      <w:r>
        <w:t>Earning income from stablecoins in 2025 offers retail investors unprecedented opportunities to generate passive income while maintaining price stability. From simple yield-bearing stablecoins to sophisticated DeFi strategies, there's an option suitable for every risk tolerance and experience level.</w:t>
      </w:r>
    </w:p>
    <w:p>
      <w:r>
        <w:t>The key to success is starting with simpler, lower-risk strategies and gradually expanding your knowledge and exposure as you become more comfortable with the ecosystem. The name of the game? Survive. Stack. Compound. Repeat.</w:t>
      </w:r>
    </w:p>
    <w:p>
      <w:r>
        <w:t>Whether you choose the simplicity of yield-bearing stablecoins, the higher returns of DeFi protocols, or the regulatory comfort of CeFi platforms, stablecoins provide a compelling bridge between traditional finance and the new digital economy. As the market matures and regulatory clarity improves, these opportunities will likely become even more accessible and attractive to mainstream investors.</w:t>
      </w:r>
    </w:p>
    <w:p>
      <w:r>
        <w:t>Remember to always conduct thorough research, understand the risks involved, and never invest more than you can afford to lose. The stablecoin income space is dynamic and constantly evolving, so staying informed about new developments and opportunities is essential for maximizing your returns while managing risk effectively.</w:t>
      </w:r>
    </w:p>
    <w:p>
      <w:pPr>
        <w:pStyle w:val="Heading1"/>
      </w:pPr>
      <w:r>
        <w:t>📊 Professional Guidance for Stablecoin Strategies</w:t>
      </w:r>
    </w:p>
    <w:p>
      <w:r>
        <w:t>For investors seeking expert guidance in navigating the complex world of stablecoin income strategies, Moolah Capital specializes in helping investors identify and implement optimal stablecoin-based investment approaches. Their expertise in evaluating platforms, assessing risks, and structuring diversified stablecoin portfolios can help both novice and experienced investors maximize their returns while maintaining appropriate risk management protocols.</w:t>
      </w:r>
    </w:p>
    <w:p>
      <w:r>
        <w:br w:type="page"/>
      </w:r>
    </w:p>
    <w:p>
      <w:pPr>
        <w:pStyle w:val="Heading1"/>
      </w:pPr>
      <w:r>
        <w:t>📊 Visual Comparison of Stablecoin Strategies</w:t>
      </w:r>
    </w:p>
    <w:p>
      <w:pPr>
        <w:pStyle w:val="Heading2"/>
      </w:pPr>
      <w:r>
        <w:t>Table: Stablecoin Income Strategy Comparison</w:t>
      </w:r>
    </w:p>
    <w:tbl>
      <w:tblPr>
        <w:tblStyle w:val="LightList-Accent1"/>
        <w:tblW w:type="auto" w:w="0"/>
        <w:tblLook w:firstColumn="1" w:firstRow="1" w:lastColumn="0" w:lastRow="0" w:noHBand="0" w:noVBand="1" w:val="04A0"/>
      </w:tblPr>
      <w:tblGrid>
        <w:gridCol w:w="1728"/>
        <w:gridCol w:w="1728"/>
        <w:gridCol w:w="1728"/>
        <w:gridCol w:w="1728"/>
        <w:gridCol w:w="1728"/>
      </w:tblGrid>
      <w:tr>
        <w:tc>
          <w:tcPr>
            <w:tcW w:type="dxa" w:w="1728"/>
          </w:tcPr>
          <w:p>
            <w:r>
              <w:t>Strategy</w:t>
            </w:r>
          </w:p>
        </w:tc>
        <w:tc>
          <w:tcPr>
            <w:tcW w:type="dxa" w:w="1728"/>
          </w:tcPr>
          <w:p>
            <w:r>
              <w:t>Risk</w:t>
            </w:r>
          </w:p>
        </w:tc>
        <w:tc>
          <w:tcPr>
            <w:tcW w:type="dxa" w:w="1728"/>
          </w:tcPr>
          <w:p>
            <w:r>
              <w:t>User Control</w:t>
            </w:r>
          </w:p>
        </w:tc>
        <w:tc>
          <w:tcPr>
            <w:tcW w:type="dxa" w:w="1728"/>
          </w:tcPr>
          <w:p>
            <w:r>
              <w:t>Expected Yield</w:t>
            </w:r>
          </w:p>
        </w:tc>
        <w:tc>
          <w:tcPr>
            <w:tcW w:type="dxa" w:w="1728"/>
          </w:tcPr>
          <w:p>
            <w:r>
              <w:t>Technical Skill</w:t>
            </w:r>
          </w:p>
        </w:tc>
      </w:tr>
      <w:tr>
        <w:tc>
          <w:tcPr>
            <w:tcW w:type="dxa" w:w="1728"/>
          </w:tcPr>
          <w:p>
            <w:r>
              <w:t>Yield-Bearing Stablecoins</w:t>
            </w:r>
          </w:p>
        </w:tc>
        <w:tc>
          <w:tcPr>
            <w:tcW w:type="dxa" w:w="1728"/>
          </w:tcPr>
          <w:p>
            <w:r>
              <w:t>Low</w:t>
            </w:r>
          </w:p>
        </w:tc>
        <w:tc>
          <w:tcPr>
            <w:tcW w:type="dxa" w:w="1728"/>
          </w:tcPr>
          <w:p>
            <w:r>
              <w:t>Medium</w:t>
            </w:r>
          </w:p>
        </w:tc>
        <w:tc>
          <w:tcPr>
            <w:tcW w:type="dxa" w:w="1728"/>
          </w:tcPr>
          <w:p>
            <w:r>
              <w:t>3-6%</w:t>
            </w:r>
          </w:p>
        </w:tc>
        <w:tc>
          <w:tcPr>
            <w:tcW w:type="dxa" w:w="1728"/>
          </w:tcPr>
          <w:p>
            <w:r>
              <w:t>Low</w:t>
            </w:r>
          </w:p>
        </w:tc>
      </w:tr>
      <w:tr>
        <w:tc>
          <w:tcPr>
            <w:tcW w:type="dxa" w:w="1728"/>
          </w:tcPr>
          <w:p>
            <w:r>
              <w:t>CeFi Platforms</w:t>
            </w:r>
          </w:p>
        </w:tc>
        <w:tc>
          <w:tcPr>
            <w:tcW w:type="dxa" w:w="1728"/>
          </w:tcPr>
          <w:p>
            <w:r>
              <w:t>Medium</w:t>
            </w:r>
          </w:p>
        </w:tc>
        <w:tc>
          <w:tcPr>
            <w:tcW w:type="dxa" w:w="1728"/>
          </w:tcPr>
          <w:p>
            <w:r>
              <w:t>Low</w:t>
            </w:r>
          </w:p>
        </w:tc>
        <w:tc>
          <w:tcPr>
            <w:tcW w:type="dxa" w:w="1728"/>
          </w:tcPr>
          <w:p>
            <w:r>
              <w:t>4-18%</w:t>
            </w:r>
          </w:p>
        </w:tc>
        <w:tc>
          <w:tcPr>
            <w:tcW w:type="dxa" w:w="1728"/>
          </w:tcPr>
          <w:p>
            <w:r>
              <w:t>Low</w:t>
            </w:r>
          </w:p>
        </w:tc>
      </w:tr>
      <w:tr>
        <w:tc>
          <w:tcPr>
            <w:tcW w:type="dxa" w:w="1728"/>
          </w:tcPr>
          <w:p>
            <w:r>
              <w:t>DeFi Lending</w:t>
            </w:r>
          </w:p>
        </w:tc>
        <w:tc>
          <w:tcPr>
            <w:tcW w:type="dxa" w:w="1728"/>
          </w:tcPr>
          <w:p>
            <w:r>
              <w:t>Medium</w:t>
            </w:r>
          </w:p>
        </w:tc>
        <w:tc>
          <w:tcPr>
            <w:tcW w:type="dxa" w:w="1728"/>
          </w:tcPr>
          <w:p>
            <w:r>
              <w:t>High</w:t>
            </w:r>
          </w:p>
        </w:tc>
        <w:tc>
          <w:tcPr>
            <w:tcW w:type="dxa" w:w="1728"/>
          </w:tcPr>
          <w:p>
            <w:r>
              <w:t>3-12%</w:t>
            </w:r>
          </w:p>
        </w:tc>
        <w:tc>
          <w:tcPr>
            <w:tcW w:type="dxa" w:w="1728"/>
          </w:tcPr>
          <w:p>
            <w:r>
              <w:t>Medium</w:t>
            </w:r>
          </w:p>
        </w:tc>
      </w:tr>
      <w:tr>
        <w:tc>
          <w:tcPr>
            <w:tcW w:type="dxa" w:w="1728"/>
          </w:tcPr>
          <w:p>
            <w:r>
              <w:t>Yield Farming</w:t>
            </w:r>
          </w:p>
        </w:tc>
        <w:tc>
          <w:tcPr>
            <w:tcW w:type="dxa" w:w="1728"/>
          </w:tcPr>
          <w:p>
            <w:r>
              <w:t>High</w:t>
            </w:r>
          </w:p>
        </w:tc>
        <w:tc>
          <w:tcPr>
            <w:tcW w:type="dxa" w:w="1728"/>
          </w:tcPr>
          <w:p>
            <w:r>
              <w:t>High</w:t>
            </w:r>
          </w:p>
        </w:tc>
        <w:tc>
          <w:tcPr>
            <w:tcW w:type="dxa" w:w="1728"/>
          </w:tcPr>
          <w:p>
            <w:r>
              <w:t>10-30%</w:t>
            </w:r>
          </w:p>
        </w:tc>
        <w:tc>
          <w:tcPr>
            <w:tcW w:type="dxa" w:w="1728"/>
          </w:tcPr>
          <w:p>
            <w:r>
              <w:t>High</w:t>
            </w:r>
          </w:p>
        </w:tc>
      </w:tr>
      <w:tr>
        <w:tc>
          <w:tcPr>
            <w:tcW w:type="dxa" w:w="1728"/>
          </w:tcPr>
          <w:p>
            <w:r>
              <w:t>RWA-Backed</w:t>
            </w:r>
          </w:p>
        </w:tc>
        <w:tc>
          <w:tcPr>
            <w:tcW w:type="dxa" w:w="1728"/>
          </w:tcPr>
          <w:p>
            <w:r>
              <w:t>Low</w:t>
            </w:r>
          </w:p>
        </w:tc>
        <w:tc>
          <w:tcPr>
            <w:tcW w:type="dxa" w:w="1728"/>
          </w:tcPr>
          <w:p>
            <w:r>
              <w:t>Medium</w:t>
            </w:r>
          </w:p>
        </w:tc>
        <w:tc>
          <w:tcPr>
            <w:tcW w:type="dxa" w:w="1728"/>
          </w:tcPr>
          <w:p>
            <w:r>
              <w:t>4-6%</w:t>
            </w:r>
          </w:p>
        </w:tc>
        <w:tc>
          <w:tcPr>
            <w:tcW w:type="dxa" w:w="1728"/>
          </w:tcPr>
          <w:p>
            <w:r>
              <w:t>Medium</w:t>
            </w:r>
          </w:p>
        </w:tc>
      </w:tr>
    </w:tbl>
    <w:p>
      <w:pPr>
        <w:pStyle w:val="Heading2"/>
      </w:pPr>
      <w:r>
        <w:t>Chart: CeFi vs DeFi APY</w:t>
      </w:r>
    </w:p>
    <w:p>
      <w:r>
        <w:drawing>
          <wp:inline xmlns:a="http://schemas.openxmlformats.org/drawingml/2006/main" xmlns:pic="http://schemas.openxmlformats.org/drawingml/2006/picture">
            <wp:extent cx="5486400" cy="3429000"/>
            <wp:docPr id="1" name="Picture 1"/>
            <wp:cNvGraphicFramePr>
              <a:graphicFrameLocks noChangeAspect="1"/>
            </wp:cNvGraphicFramePr>
            <a:graphic>
              <a:graphicData uri="http://schemas.openxmlformats.org/drawingml/2006/picture">
                <pic:pic>
                  <pic:nvPicPr>
                    <pic:cNvPr id="0" name="cefi_vs_defi_apy.png"/>
                    <pic:cNvPicPr/>
                  </pic:nvPicPr>
                  <pic:blipFill>
                    <a:blip r:embed="rId9"/>
                    <a:stretch>
                      <a:fillRect/>
                    </a:stretch>
                  </pic:blipFill>
                  <pic:spPr>
                    <a:xfrm>
                      <a:off x="0" y="0"/>
                      <a:ext cx="5486400" cy="3429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