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ai-powered-portfolio-rebalancing"/>
    <w:p>
      <w:pPr>
        <w:pStyle w:val="Heading1"/>
      </w:pPr>
      <w:r>
        <w:t xml:space="preserve">AI-Powered Portfolio Rebalancing</w:t>
      </w:r>
    </w:p>
    <w:bookmarkStart w:id="20" w:name="introduction"/>
    <w:p>
      <w:pPr>
        <w:pStyle w:val="Heading2"/>
      </w:pPr>
      <w:r>
        <w:t xml:space="preserve">Introduction</w:t>
      </w:r>
    </w:p>
    <w:p>
      <w:pPr>
        <w:pStyle w:val="FirstParagraph"/>
      </w:pPr>
      <w:r>
        <w:t xml:space="preserve">In the era of increasingly complex and dynamic markets, traditional portfolio rebalancing approaches—such as fixed‑interval or static‑threshold models—can fall short of capturing rapid regime shifts, sentiment‑driven volatility, and nonlinear cost structures.</w:t>
      </w:r>
    </w:p>
    <w:p>
      <w:pPr>
        <w:pStyle w:val="BodyText"/>
      </w:pPr>
      <w:r>
        <w:t xml:space="preserve">By harnessing artificial intelligence (AI) and advanced statistical techniques, portfolio managers can design more adaptive, cost‑efficient, and robust rebalancing frameworks.</w:t>
      </w:r>
    </w:p>
    <w:p>
      <w:pPr>
        <w:pStyle w:val="BodyText"/>
      </w:pPr>
      <w:r>
        <w:t xml:space="preserve">This article presents a comprehensive survey of AI‑powered portfolio rebalancing, organized into three core domains: trigger mechanisms, optimization methodologies, and constraints &amp; cost management.</w:t>
      </w:r>
    </w:p>
    <w:p>
      <w:pPr>
        <w:pStyle w:val="BodyText"/>
      </w:pPr>
      <w:r>
        <w:t xml:space="preserve">We explore how machine learning (ML) and large language models (LLMs) can enhance dynamic drift detection, regime‑sensitive timing, predictive cost minimization, and tax‑efficient decision‑making.</w:t>
      </w:r>
    </w:p>
    <w:bookmarkEnd w:id="20"/>
    <w:bookmarkStart w:id="24" w:name="trigger-mechanisms"/>
    <w:p>
      <w:pPr>
        <w:pStyle w:val="Heading2"/>
      </w:pPr>
      <w:r>
        <w:t xml:space="preserve">1. Trigger Mechanisms</w:t>
      </w:r>
    </w:p>
    <w:p>
      <w:pPr>
        <w:pStyle w:val="FirstParagraph"/>
      </w:pPr>
      <w:r>
        <w:t xml:space="preserve">Trigger mechanisms determine</w:t>
      </w:r>
      <w:r>
        <w:t xml:space="preserve"> </w:t>
      </w:r>
      <w:r>
        <w:rPr>
          <w:i/>
          <w:iCs/>
        </w:rPr>
        <w:t xml:space="preserve">when</w:t>
      </w:r>
      <w:r>
        <w:t xml:space="preserve"> </w:t>
      </w:r>
      <w:r>
        <w:t xml:space="preserve">a portfolio should be rebalanced. Rather than relying on fixed calendars or arbitrary drift limits, AI‑driven triggers adapt to market conditions by detecting regime shifts, measuring dynamic drift, and even parsing unstructured data for sentiment signals.</w:t>
      </w:r>
    </w:p>
    <w:bookmarkStart w:id="21" w:name="X781a7a3ba513c7e3f8c2f28751d17e7fc4bfc2a"/>
    <w:p>
      <w:pPr>
        <w:pStyle w:val="Heading3"/>
      </w:pPr>
      <w:r>
        <w:t xml:space="preserve">1.1 Threshold Models with Dynamic Drift Limits</w:t>
      </w:r>
    </w:p>
    <w:p>
      <w:pPr>
        <w:pStyle w:val="FirstParagraph"/>
      </w:pPr>
      <w:r>
        <w:t xml:space="preserve">Traditional threshold models rebalance when an asset’s weight deviates beyond a fixed band (e.g., ±5%) from its target. AI enhancements instead estimate</w:t>
      </w:r>
      <w:r>
        <w:t xml:space="preserve"> </w:t>
      </w:r>
      <w:r>
        <w:rPr>
          <w:i/>
          <w:iCs/>
        </w:rPr>
        <w:t xml:space="preserve">dynamic</w:t>
      </w:r>
      <w:r>
        <w:t xml:space="preserve"> </w:t>
      </w:r>
      <w:r>
        <w:t xml:space="preserve">drift based on recent volatility regimes:</w:t>
      </w:r>
    </w:p>
    <w:p>
      <w:pPr>
        <w:numPr>
          <w:ilvl w:val="0"/>
          <w:numId w:val="1001"/>
        </w:numPr>
      </w:pPr>
      <w:r>
        <w:rPr>
          <w:b/>
          <w:bCs/>
        </w:rPr>
        <w:t xml:space="preserve">Random Forest Drift Estimation</w:t>
      </w:r>
      <w:r>
        <w:br/>
      </w:r>
      <w:r>
        <w:t xml:space="preserve">A random forest regressor learns to predict expected drift magnitude from features such as realized volatility, trading volume, and bid‑ask spreads. By feeding the model a rolling window of these variables, it outputs a time‑varying drift tolerance: larger in low‑volatility regimes and tighter during high turbulence.</w:t>
      </w:r>
    </w:p>
    <w:p>
      <w:pPr>
        <w:numPr>
          <w:ilvl w:val="0"/>
          <w:numId w:val="1001"/>
        </w:numPr>
      </w:pPr>
      <w:r>
        <w:rPr>
          <w:b/>
          <w:bCs/>
        </w:rPr>
        <w:t xml:space="preserve">Adaptive Bands</w:t>
      </w:r>
      <w:r>
        <w:br/>
      </w:r>
      <w:r>
        <w:t xml:space="preserve">Using the random forest’s output, bands can be set as a multiple of the predicted drift (e.g., ±1.5×). Portfolios avoid unnecessary churn during quiet periods yet respond swiftly to emerging trends, reducing both performance drag and transaction costs.</w:t>
      </w:r>
    </w:p>
    <w:bookmarkEnd w:id="21"/>
    <w:bookmarkStart w:id="22" w:name="regimeaware-rebalancing-frequency"/>
    <w:p>
      <w:pPr>
        <w:pStyle w:val="Heading3"/>
      </w:pPr>
      <w:r>
        <w:t xml:space="preserve">1.2 Regime‑Aware Rebalancing Frequency</w:t>
      </w:r>
    </w:p>
    <w:p>
      <w:pPr>
        <w:pStyle w:val="FirstParagraph"/>
      </w:pPr>
      <w:r>
        <w:t xml:space="preserve">Markets often follow latent regimes—trending, mean‑reverting, or crisis states—that require different rebalancing cadences. Hidden Markov models (HMMs) provide a probabilistic framework for regime detection:</w:t>
      </w:r>
    </w:p>
    <w:p>
      <w:pPr>
        <w:numPr>
          <w:ilvl w:val="0"/>
          <w:numId w:val="1002"/>
        </w:numPr>
      </w:pPr>
      <w:r>
        <w:rPr>
          <w:b/>
          <w:bCs/>
        </w:rPr>
        <w:t xml:space="preserve">HMM Training</w:t>
      </w:r>
      <w:r>
        <w:br/>
      </w:r>
      <w:r>
        <w:t xml:space="preserve">Historical returns, volatility, and macroeconomic indicators feed into an HMM, which learns state transition probabilities and regime‑specific emission distributions. Typical regimes include</w:t>
      </w:r>
      <w:r>
        <w:t xml:space="preserve"> </w:t>
      </w:r>
      <w:r>
        <w:t xml:space="preserve">“Bull Trend,”</w:t>
      </w:r>
      <w:r>
        <w:t xml:space="preserve"> </w:t>
      </w:r>
      <w:r>
        <w:t xml:space="preserve">“Sideways,”</w:t>
      </w:r>
      <w:r>
        <w:t xml:space="preserve"> </w:t>
      </w:r>
      <w:r>
        <w:t xml:space="preserve">and</w:t>
      </w:r>
      <w:r>
        <w:t xml:space="preserve"> </w:t>
      </w:r>
      <w:r>
        <w:t xml:space="preserve">“Bear Volatility.”</w:t>
      </w:r>
    </w:p>
    <w:p>
      <w:pPr>
        <w:numPr>
          <w:ilvl w:val="0"/>
          <w:numId w:val="1002"/>
        </w:numPr>
      </w:pPr>
      <w:r>
        <w:rPr>
          <w:b/>
          <w:bCs/>
        </w:rPr>
        <w:t xml:space="preserve">Frequency Adjustment</w:t>
      </w:r>
      <w:r>
        <w:br/>
      </w:r>
      <w:r>
        <w:t xml:space="preserve">Once the current regime is inferred (e.g., &gt;80% posterior probability of a</w:t>
      </w:r>
      <w:r>
        <w:t xml:space="preserve"> </w:t>
      </w:r>
      <w:r>
        <w:t xml:space="preserve">“Bear Volatility”</w:t>
      </w:r>
      <w:r>
        <w:t xml:space="preserve"> </w:t>
      </w:r>
      <w:r>
        <w:t xml:space="preserve">state), the rebalance schedule updates accordingly: daily or intraday in high‑vol regimes, weekly or monthly in trending or calm markets. This regime‑aware cadence helps capture drift when it matters most and reduces unnecessary adjustments otherwise.</w:t>
      </w:r>
    </w:p>
    <w:bookmarkEnd w:id="22"/>
    <w:bookmarkStart w:id="23" w:name="X33f4c67bf238f5ecc7b2c72e5f0add4f6bae451"/>
    <w:p>
      <w:pPr>
        <w:pStyle w:val="Heading3"/>
      </w:pPr>
      <w:r>
        <w:t xml:space="preserve">1.3 News &amp; Sentiment Triggers via LLM Classification</w:t>
      </w:r>
    </w:p>
    <w:p>
      <w:pPr>
        <w:pStyle w:val="FirstParagraph"/>
      </w:pPr>
      <w:r>
        <w:t xml:space="preserve">Unstructured data—news articles, social media, and earnings‑call transcripts—encode forward‑looking signals often overlooked by quantitative‑only frameworks. Large language models (LLMs) can ingest and classify sentiment events:</w:t>
      </w:r>
    </w:p>
    <w:p>
      <w:pPr>
        <w:numPr>
          <w:ilvl w:val="0"/>
          <w:numId w:val="1003"/>
        </w:numPr>
      </w:pPr>
      <w:r>
        <w:rPr>
          <w:b/>
          <w:bCs/>
        </w:rPr>
        <w:t xml:space="preserve">Sentiment Fine‑Tuning</w:t>
      </w:r>
      <w:r>
        <w:br/>
      </w:r>
      <w:r>
        <w:t xml:space="preserve">A transformer‑based LLM (e.g., fine‑tuned BERT or GPT variant) is trained on labeled financial news for sentiment polarity (positive, neutral, negative) and event types (e.g., downgrades, M&amp;A rumors).</w:t>
      </w:r>
    </w:p>
    <w:p>
      <w:pPr>
        <w:numPr>
          <w:ilvl w:val="0"/>
          <w:numId w:val="1003"/>
        </w:numPr>
      </w:pPr>
      <w:r>
        <w:rPr>
          <w:b/>
          <w:bCs/>
        </w:rPr>
        <w:t xml:space="preserve">Trigger Logic</w:t>
      </w:r>
      <w:r>
        <w:br/>
      </w:r>
      <w:r>
        <w:t xml:space="preserve">When the LLM flags a significant negative signal for a major holding or sector—say, a regulatory investigation or negative earnings surprise—a conditional trigger initiates a targeted rebalance. For example, if the predicted probability of a</w:t>
      </w:r>
      <w:r>
        <w:t xml:space="preserve"> </w:t>
      </w:r>
      <w:r>
        <w:t xml:space="preserve">“very negative”</w:t>
      </w:r>
      <w:r>
        <w:t xml:space="preserve"> </w:t>
      </w:r>
      <w:r>
        <w:t xml:space="preserve">event exceeds 70%, sector weights can be trimmed or hedged immediately, rather than waiting for price drift thresholds.</w:t>
      </w:r>
    </w:p>
    <w:bookmarkEnd w:id="23"/>
    <w:bookmarkEnd w:id="24"/>
    <w:bookmarkStart w:id="28" w:name="optimization-techniques"/>
    <w:p>
      <w:pPr>
        <w:pStyle w:val="Heading2"/>
      </w:pPr>
      <w:r>
        <w:t xml:space="preserve">2. Optimization Techniques</w:t>
      </w:r>
    </w:p>
    <w:p>
      <w:pPr>
        <w:pStyle w:val="FirstParagraph"/>
      </w:pPr>
      <w:r>
        <w:t xml:space="preserve">Having decided</w:t>
      </w:r>
      <w:r>
        <w:t xml:space="preserve"> </w:t>
      </w:r>
      <w:r>
        <w:rPr>
          <w:i/>
          <w:iCs/>
        </w:rPr>
        <w:t xml:space="preserve">when</w:t>
      </w:r>
      <w:r>
        <w:t xml:space="preserve"> </w:t>
      </w:r>
      <w:r>
        <w:t xml:space="preserve">to rebalance, the next challenge is</w:t>
      </w:r>
      <w:r>
        <w:t xml:space="preserve"> </w:t>
      </w:r>
      <w:r>
        <w:rPr>
          <w:i/>
          <w:iCs/>
        </w:rPr>
        <w:t xml:space="preserve">how</w:t>
      </w:r>
      <w:r>
        <w:t xml:space="preserve">—identifying the optimal set of trades that bring the portfolio back toward target exposures while balancing risk, cost, and other constraints. AI extends classical solvers by integrating predictive forecasts and advanced heuristics.</w:t>
      </w:r>
    </w:p>
    <w:bookmarkStart w:id="25" w:name="X2810ec797619621a38083211b44ffc363654652"/>
    <w:p>
      <w:pPr>
        <w:pStyle w:val="Heading3"/>
      </w:pPr>
      <w:r>
        <w:t xml:space="preserve">2.1 Mean‑Variance Enhanced by Ensemble Forecasts</w:t>
      </w:r>
    </w:p>
    <w:p>
      <w:pPr>
        <w:pStyle w:val="FirstParagraph"/>
      </w:pPr>
      <w:r>
        <w:t xml:space="preserve">The classic Markowitz mean‑variance optimizer relies on estimates of expected returns and covariances. AI improves these inputs:</w:t>
      </w:r>
    </w:p>
    <w:p>
      <w:pPr>
        <w:numPr>
          <w:ilvl w:val="0"/>
          <w:numId w:val="1004"/>
        </w:numPr>
      </w:pPr>
      <w:r>
        <w:rPr>
          <w:b/>
          <w:bCs/>
        </w:rPr>
        <w:t xml:space="preserve">Ensemble Forecasting</w:t>
      </w:r>
      <w:r>
        <w:br/>
      </w:r>
      <w:r>
        <w:t xml:space="preserve">Multiple ML models—such as gradient boosting machines, long short‑term memory networks, and convolutional neural nets on technical data—generate asset return forecasts. By stacking or blending these forecasts, we produce a robust expected return vector that captures diverse signal sources.</w:t>
      </w:r>
    </w:p>
    <w:p>
      <w:pPr>
        <w:numPr>
          <w:ilvl w:val="0"/>
          <w:numId w:val="1004"/>
        </w:numPr>
      </w:pPr>
      <w:r>
        <w:rPr>
          <w:b/>
          <w:bCs/>
        </w:rPr>
        <w:t xml:space="preserve">Markowitz Solver Integration</w:t>
      </w:r>
      <w:r>
        <w:br/>
      </w:r>
      <w:r>
        <w:t xml:space="preserve">The ensembled expected returns feed into the quadratic program:</w:t>
      </w:r>
      <w:r>
        <w:br/>
      </w:r>
      <w:r>
        <w:t xml:space="preserve">[</w:t>
      </w:r>
      <w:r>
        <w:t xml:space="preserve"> </w:t>
      </w:r>
      <w:r>
        <w:t xml:space="preserve">_{w} ; w^</w:t>
      </w:r>
      <w:r>
        <w:t xml:space="preserve">w ;−;</w:t>
      </w:r>
      <w:r>
        <w:t xml:space="preserve"> </w:t>
      </w:r>
      <w:r>
        <w:t xml:space="preserve">,</w:t>
      </w:r>
      <w:r>
        <w:t xml:space="preserve">^</w:t>
      </w:r>
      <w:r>
        <w:t xml:space="preserve">w ]</w:t>
      </w:r>
      <w:r>
        <w:br/>
      </w:r>
      <w:r>
        <w:t xml:space="preserve">where (</w:t>
      </w:r>
      <w:r>
        <w:t xml:space="preserve">) is the covariance matrix, (</w:t>
      </w:r>
      <w:r>
        <w:t xml:space="preserve">) the ensembled forecast, and (</w:t>
      </w:r>
      <w:r>
        <w:t xml:space="preserve">) the risk aversion parameter. Solving this QP yields the new target weights.</w:t>
      </w:r>
    </w:p>
    <w:p>
      <w:pPr>
        <w:numPr>
          <w:ilvl w:val="0"/>
          <w:numId w:val="1004"/>
        </w:numPr>
      </w:pPr>
      <w:r>
        <w:rPr>
          <w:b/>
          <w:bCs/>
        </w:rPr>
        <w:t xml:space="preserve">Regularization</w:t>
      </w:r>
      <w:r>
        <w:br/>
      </w:r>
      <w:r>
        <w:t xml:space="preserve">To prevent extreme position shifts, an (</w:t>
      </w:r>
      <w:r>
        <w:t xml:space="preserve">_1) or (</w:t>
      </w:r>
      <w:r>
        <w:t xml:space="preserve">_2) penalty on trade sizes can be added, limiting turnover and smoothing allocation changes.</w:t>
      </w:r>
    </w:p>
    <w:bookmarkEnd w:id="25"/>
    <w:bookmarkStart w:id="26" w:name="Xb9a665eaeb2a9d8f408a19b2dd0b9de13efc2f6"/>
    <w:p>
      <w:pPr>
        <w:pStyle w:val="Heading3"/>
      </w:pPr>
      <w:r>
        <w:t xml:space="preserve">2.2 Hierarchical Risk Parity with ML‑Predicted Timing</w:t>
      </w:r>
    </w:p>
    <w:p>
      <w:pPr>
        <w:pStyle w:val="FirstParagraph"/>
      </w:pPr>
      <w:r>
        <w:t xml:space="preserve">Risk parity allocates weights inversely proportional to asset volatility or total risk contribution. Hierarchical risk parity (HRP) builds a tree‑based clustering of assets, balancing risk at each node. AI augmentation involves:</w:t>
      </w:r>
    </w:p>
    <w:p>
      <w:pPr>
        <w:numPr>
          <w:ilvl w:val="0"/>
          <w:numId w:val="1005"/>
        </w:numPr>
      </w:pPr>
      <w:r>
        <w:rPr>
          <w:b/>
          <w:bCs/>
        </w:rPr>
        <w:t xml:space="preserve">ML‑Predicted Rebalance Timing</w:t>
      </w:r>
      <w:r>
        <w:br/>
      </w:r>
      <w:r>
        <w:t xml:space="preserve">A time‑series classifier (e.g., XGBoost or temporal convolution network) predicts the optimal time to trigger an HRP rebalance, based on recent dispersion metrics, momentum indicators, and regime labels. This reduces unnecessary HRP solves when asset correlations are stable.</w:t>
      </w:r>
    </w:p>
    <w:p>
      <w:pPr>
        <w:numPr>
          <w:ilvl w:val="0"/>
          <w:numId w:val="1005"/>
        </w:numPr>
      </w:pPr>
      <w:r>
        <w:rPr>
          <w:b/>
          <w:bCs/>
        </w:rPr>
        <w:t xml:space="preserve">Dynamic Clustering</w:t>
      </w:r>
      <w:r>
        <w:br/>
      </w:r>
      <w:r>
        <w:t xml:space="preserve">Asset clusters used in HRP can be updated via online clustering algorithms that adapt to changing correlation structures. This ensures the dendrogram reflects current market linkages, preventing stale hierarchical allocations.</w:t>
      </w:r>
    </w:p>
    <w:bookmarkEnd w:id="26"/>
    <w:bookmarkStart w:id="27" w:name="blacklitterman-with-bayesian-llm-views"/>
    <w:p>
      <w:pPr>
        <w:pStyle w:val="Heading3"/>
      </w:pPr>
      <w:r>
        <w:t xml:space="preserve">2.3 Black‑Litterman with Bayesian LLM Views</w:t>
      </w:r>
    </w:p>
    <w:p>
      <w:pPr>
        <w:pStyle w:val="FirstParagraph"/>
      </w:pPr>
      <w:r>
        <w:t xml:space="preserve">The Black‑Litterman model integrates market equilibrium weights (implied by capitalization) with investor views, producing posterior expected returns:</w:t>
      </w:r>
    </w:p>
    <w:p>
      <w:pPr>
        <w:numPr>
          <w:ilvl w:val="0"/>
          <w:numId w:val="1006"/>
        </w:numPr>
      </w:pPr>
      <w:r>
        <w:rPr>
          <w:b/>
          <w:bCs/>
        </w:rPr>
        <w:t xml:space="preserve">LLM‑Derived Views</w:t>
      </w:r>
      <w:r>
        <w:br/>
      </w:r>
      <w:r>
        <w:t xml:space="preserve">Sentiment and event signals from the LLM form qualitative views, which are quantified into view vectors (q) with confidence levels (</w:t>
      </w:r>
      <w:r>
        <w:t xml:space="preserve">). For example, a strong negative view on financials could decrease expected returns by (-2%) with (</w:t>
      </w:r>
      <w:r>
        <w:t xml:space="preserve">= 0.8).</w:t>
      </w:r>
    </w:p>
    <w:p>
      <w:pPr>
        <w:numPr>
          <w:ilvl w:val="0"/>
          <w:numId w:val="1006"/>
        </w:numPr>
      </w:pPr>
      <w:r>
        <w:rPr>
          <w:b/>
          <w:bCs/>
        </w:rPr>
        <w:t xml:space="preserve">Bayesian Blend</w:t>
      </w:r>
      <w:r>
        <w:br/>
      </w:r>
      <w:r>
        <w:t xml:space="preserve">The posterior return estimate is</w:t>
      </w:r>
      <w:r>
        <w:br/>
      </w:r>
      <w:r>
        <w:t xml:space="preserve">[</w:t>
      </w:r>
      <w:r>
        <w:t xml:space="preserve"> </w:t>
      </w:r>
      <w:r>
        <w:t xml:space="preserve">_{BL} =</w:t>
      </w:r>
      <w:r>
        <w:t xml:space="preserve"> </w:t>
      </w:r>
      <w:r>
        <w:t xml:space="preserve">^{-1}</w:t>
      </w:r>
      <w:r>
        <w:t xml:space="preserve"> </w:t>
      </w:r>
      <w:r>
        <w:t xml:space="preserve">, ]</w:t>
      </w:r>
      <w:r>
        <w:br/>
      </w:r>
      <w:r>
        <w:t xml:space="preserve">where (</w:t>
      </w:r>
      <w:r>
        <w:t xml:space="preserve">) are equity‑market implied returns, (P) the pick matrix, and (</w:t>
      </w:r>
      <w:r>
        <w:t xml:space="preserve">) the view covariance. This produces a return estimate that balances market consensus with qualitative insights.</w:t>
      </w:r>
    </w:p>
    <w:p>
      <w:pPr>
        <w:numPr>
          <w:ilvl w:val="0"/>
          <w:numId w:val="1006"/>
        </w:numPr>
      </w:pPr>
      <w:r>
        <w:rPr>
          <w:b/>
          <w:bCs/>
        </w:rPr>
        <w:t xml:space="preserve">Solver Integration</w:t>
      </w:r>
      <w:r>
        <w:br/>
      </w:r>
      <w:r>
        <w:t xml:space="preserve">The resulting (</w:t>
      </w:r>
      <w:r>
        <w:t xml:space="preserve">_{BL}) and (</w:t>
      </w:r>
      <w:r>
        <w:t xml:space="preserve">) feed directly into a mean‑variance or risk‑parity solver, yielding allocations that honor both market neutrality and AI‑informed tilts.</w:t>
      </w:r>
    </w:p>
    <w:bookmarkEnd w:id="27"/>
    <w:bookmarkEnd w:id="28"/>
    <w:bookmarkStart w:id="32" w:name="constraints-costs"/>
    <w:p>
      <w:pPr>
        <w:pStyle w:val="Heading2"/>
      </w:pPr>
      <w:r>
        <w:t xml:space="preserve">3. Constraints &amp; Costs</w:t>
      </w:r>
    </w:p>
    <w:p>
      <w:pPr>
        <w:pStyle w:val="FirstParagraph"/>
      </w:pPr>
      <w:r>
        <w:t xml:space="preserve">Real‑world portfolios face constraints—risk budgets, regulatory limits, and tax considerations—and incur explicit trading costs. AI methods can model these factors more accurately and optimize under complex, nonlinear constraints.</w:t>
      </w:r>
    </w:p>
    <w:bookmarkStart w:id="29" w:name="X75c443f471867214061ce0ada321f012b084951"/>
    <w:p>
      <w:pPr>
        <w:pStyle w:val="Heading3"/>
      </w:pPr>
      <w:r>
        <w:t xml:space="preserve">3.1 Value‑at‑Risk (VaR) and Monte Carlo Constraints</w:t>
      </w:r>
    </w:p>
    <w:p>
      <w:pPr>
        <w:pStyle w:val="FirstParagraph"/>
      </w:pPr>
      <w:r>
        <w:t xml:space="preserve">While historical covariance captures normal market behavior, extreme tail risks require simulation‑based methods:</w:t>
      </w:r>
    </w:p>
    <w:p>
      <w:pPr>
        <w:numPr>
          <w:ilvl w:val="0"/>
          <w:numId w:val="1007"/>
        </w:numPr>
      </w:pPr>
      <w:r>
        <w:rPr>
          <w:b/>
          <w:bCs/>
        </w:rPr>
        <w:t xml:space="preserve">Monte Carlo Scenario Generation</w:t>
      </w:r>
      <w:r>
        <w:br/>
      </w:r>
      <w:r>
        <w:t xml:space="preserve">An ML‑based generative model (e.g., variational autoencoder) learns the joint return distribution, generating thousands of realistic scenarios, including fat tails and skew.</w:t>
      </w:r>
    </w:p>
    <w:p>
      <w:pPr>
        <w:numPr>
          <w:ilvl w:val="0"/>
          <w:numId w:val="1007"/>
        </w:numPr>
      </w:pPr>
      <w:r>
        <w:rPr>
          <w:b/>
          <w:bCs/>
        </w:rPr>
        <w:t xml:space="preserve">Constraint Solver</w:t>
      </w:r>
      <w:r>
        <w:br/>
      </w:r>
      <w:r>
        <w:t xml:space="preserve">We incorporate a VaR constraint directly into the optimization:</w:t>
      </w:r>
      <w:r>
        <w:br/>
      </w:r>
      <w:r>
        <w:t xml:space="preserve">[</w:t>
      </w:r>
      <w:r>
        <w:t xml:space="preserve"> </w:t>
      </w:r>
      <w:r>
        <w:rPr>
          <w:i/>
          <w:iCs/>
        </w:rPr>
        <w:t xml:space="preserve">w ;</w:t>
      </w:r>
      <w:r>
        <w:rPr>
          <w:i/>
          <w:iCs/>
        </w:rPr>
        <w:t xml:space="preserve"> </w:t>
      </w:r>
      <w:r>
        <w:rPr>
          <w:i/>
          <w:iCs/>
        </w:rPr>
        <w:t xml:space="preserve">[L(w)]</w:t>
      </w:r>
      <w:r>
        <w:rPr>
          <w:i/>
          <w:iCs/>
        </w:rPr>
        <w:t xml:space="preserve"> </w:t>
      </w:r>
      <w:r>
        <w:rPr>
          <w:i/>
          <w:iCs/>
        </w:rPr>
        <w:t xml:space="preserve"> </w:t>
      </w:r>
      <w:r>
        <w:t xml:space="preserve">{</w:t>
      </w:r>
      <w:r>
        <w:t xml:space="preserve">}(w) ≤</w:t>
      </w:r>
      <w:r>
        <w:t xml:space="preserve"> </w:t>
      </w:r>
      <w:r>
        <w:t xml:space="preserve">, ]</w:t>
      </w:r>
      <w:r>
        <w:br/>
      </w:r>
      <w:r>
        <w:t xml:space="preserve">where (</w:t>
      </w:r>
      <w:r>
        <w:t xml:space="preserve">) is the maximum acceptable loss at confidence level (</w:t>
      </w:r>
      <w:r>
        <w:t xml:space="preserve">). A stochastic programming approach solves this via sample‑average approximation, ensuring tail‑risk compliance.</w:t>
      </w:r>
    </w:p>
    <w:bookmarkEnd w:id="29"/>
    <w:bookmarkStart w:id="30" w:name="X4ffac83848dca621ca4e59c948d9cc39faa9d4a"/>
    <w:p>
      <w:pPr>
        <w:pStyle w:val="Heading3"/>
      </w:pPr>
      <w:r>
        <w:t xml:space="preserve">3.2 Transaction Cost Modeling with Liquidity Prediction</w:t>
      </w:r>
    </w:p>
    <w:p>
      <w:pPr>
        <w:pStyle w:val="FirstParagraph"/>
      </w:pPr>
      <w:r>
        <w:t xml:space="preserve">Simple constant‑percentage cost models fail to capture market impact. AI‑driven cost models predict both spread and impact:</w:t>
      </w:r>
    </w:p>
    <w:p>
      <w:pPr>
        <w:numPr>
          <w:ilvl w:val="0"/>
          <w:numId w:val="1008"/>
        </w:numPr>
      </w:pPr>
      <w:r>
        <w:rPr>
          <w:b/>
          <w:bCs/>
        </w:rPr>
        <w:t xml:space="preserve">Liquidity Features</w:t>
      </w:r>
      <w:r>
        <w:br/>
      </w:r>
      <w:r>
        <w:t xml:space="preserve">Training a regression model (e.g., light gradient boosting machine) on limit order book metrics—depth, imbalances, and recent volumes—yields forecasts of market impact per trade size.</w:t>
      </w:r>
    </w:p>
    <w:p>
      <w:pPr>
        <w:numPr>
          <w:ilvl w:val="0"/>
          <w:numId w:val="1008"/>
        </w:numPr>
      </w:pPr>
      <w:r>
        <w:rPr>
          <w:b/>
          <w:bCs/>
        </w:rPr>
        <w:t xml:space="preserve">Linear Program (LP) with Impact Costs</w:t>
      </w:r>
      <w:r>
        <w:br/>
      </w:r>
      <w:r>
        <w:t xml:space="preserve">The trade optimization problem becomes:</w:t>
      </w:r>
      <w:r>
        <w:br/>
      </w:r>
      <w:r>
        <w:t xml:space="preserve">[</w:t>
      </w:r>
      <w:r>
        <w:t xml:space="preserve"> </w:t>
      </w:r>
      <w:r>
        <w:t xml:space="preserve">_{x} ; x^</w:t>
      </w:r>
      <w:r>
        <w:t xml:space="preserve">C x + c^</w:t>
      </w:r>
      <w:r>
        <w:t xml:space="preserve">|x|, ]</w:t>
      </w:r>
      <w:r>
        <w:br/>
      </w:r>
      <w:r>
        <w:t xml:space="preserve">where (x) is the trade vector, (C) a quadratic impact cost matrix, and (c) the bid‑ask spread vector. Solving this convex program yields trade instructions that minimize total execution cost.</w:t>
      </w:r>
    </w:p>
    <w:p>
      <w:pPr>
        <w:numPr>
          <w:ilvl w:val="0"/>
          <w:numId w:val="1008"/>
        </w:numPr>
      </w:pPr>
      <w:r>
        <w:rPr>
          <w:b/>
          <w:bCs/>
        </w:rPr>
        <w:t xml:space="preserve">Break‑Up Algorithms</w:t>
      </w:r>
      <w:r>
        <w:br/>
      </w:r>
      <w:r>
        <w:t xml:space="preserve">AI can suggest optimal slicing schedules (e.g., VWAP windows) by forecasting intraday volume profiles, further reducing slippage.</w:t>
      </w:r>
    </w:p>
    <w:bookmarkEnd w:id="30"/>
    <w:bookmarkStart w:id="31" w:name="tax-loss-harvesting-with-decision-trees"/>
    <w:p>
      <w:pPr>
        <w:pStyle w:val="Heading3"/>
      </w:pPr>
      <w:r>
        <w:t xml:space="preserve">3.3 Tax Loss Harvesting with Decision Trees</w:t>
      </w:r>
    </w:p>
    <w:p>
      <w:pPr>
        <w:pStyle w:val="FirstParagraph"/>
      </w:pPr>
      <w:r>
        <w:t xml:space="preserve">Tax considerations—especially in jurisdictions with wash sale rules—can significantly affect net returns:</w:t>
      </w:r>
    </w:p>
    <w:p>
      <w:pPr>
        <w:numPr>
          <w:ilvl w:val="0"/>
          <w:numId w:val="1009"/>
        </w:numPr>
      </w:pPr>
      <w:r>
        <w:rPr>
          <w:b/>
          <w:bCs/>
        </w:rPr>
        <w:t xml:space="preserve">Decision Tree Classifier</w:t>
      </w:r>
      <w:r>
        <w:br/>
      </w:r>
      <w:r>
        <w:t xml:space="preserve">A decision tree model encodes complex tax regulations, identifying which positions qualify for loss harvesting and the required holding periods to avoid wash‑sale disallowance.</w:t>
      </w:r>
    </w:p>
    <w:p>
      <w:pPr>
        <w:numPr>
          <w:ilvl w:val="0"/>
          <w:numId w:val="1009"/>
        </w:numPr>
      </w:pPr>
      <w:r>
        <w:rPr>
          <w:b/>
          <w:bCs/>
        </w:rPr>
        <w:t xml:space="preserve">Integrated Trade Planner</w:t>
      </w:r>
      <w:r>
        <w:br/>
      </w:r>
      <w:r>
        <w:t xml:space="preserve">When generating rebalance trades, the optimizer adds a branch that includes harvesting opportunities: selling loss positions if the after‑tax benefit exceeds the expected tracking‑error cost. The decision tree outputs a binary mask of eligible trades, and the LP or QP solver incorporates these with additional constraints.</w:t>
      </w:r>
    </w:p>
    <w:bookmarkEnd w:id="31"/>
    <w:bookmarkEnd w:id="32"/>
    <w:bookmarkStart w:id="33" w:name="conclusion"/>
    <w:p>
      <w:pPr>
        <w:pStyle w:val="Heading2"/>
      </w:pPr>
      <w:r>
        <w:t xml:space="preserve">Conclusion</w:t>
      </w:r>
    </w:p>
    <w:p>
      <w:pPr>
        <w:pStyle w:val="FirstParagraph"/>
      </w:pPr>
      <w:r>
        <w:t xml:space="preserve">Embedding AI across the portfolio rebalancing workflow—from adaptive trigger mechanisms and regime‑aware timing to ensemble‑enhanced optimizers and sophisticated cost modeling—enables superior risk‑adjusted performance.</w:t>
      </w:r>
    </w:p>
    <w:p>
      <w:pPr>
        <w:pStyle w:val="BodyText"/>
      </w:pPr>
      <w:r>
        <w:t xml:space="preserve">These methods help minimize frictional losses and allow portfolios to adapt swiftly to evolving market landscapes.</w:t>
      </w:r>
    </w:p>
    <w:p>
      <w:pPr>
        <w:pStyle w:val="BodyText"/>
      </w:pPr>
      <w:r>
        <w:t xml:space="preserve">The integration of LLM‑derived sentiment views, ML‑driven liquidity forecasts, and regulatory‑aware decision engines unlocks a new frontier in portfolio management.</w:t>
      </w:r>
    </w:p>
    <w:p>
      <w:pPr>
        <w:pStyle w:val="BodyText"/>
      </w:pPr>
      <w:r>
        <w:t xml:space="preserve">Future research may explore reinforcement learning controllers for end‑to‑end automation and causal inference models to further disentangle true alpha signals from noise.</w:t>
      </w:r>
    </w:p>
    <w:p>
      <w:pPr>
        <w:pStyle w:val="BodyText"/>
      </w:pPr>
      <w:r>
        <w:t xml:space="preserve">Such advances will empower ever more resilient and efficient rebalancing systems.</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2025-07-21T14:22:56Z</dcterms:created>
  <dcterms:modified xsi:type="dcterms:W3CDTF">2025-07-21T14:22:56Z</dcterms:modified>
</cp:coreProperties>
</file>

<file path=docProps/custom.xml><?xml version="1.0" encoding="utf-8"?>
<Properties xmlns="http://schemas.openxmlformats.org/officeDocument/2006/custom-properties" xmlns:vt="http://schemas.openxmlformats.org/officeDocument/2006/docPropsVTypes"/>
</file>