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n13o2z7j4bm" w:id="0"/>
      <w:bookmarkEnd w:id="0"/>
      <w:r w:rsidDel="00000000" w:rsidR="00000000" w:rsidRPr="00000000">
        <w:rPr>
          <w:b w:val="1"/>
          <w:sz w:val="46"/>
          <w:szCs w:val="46"/>
          <w:rtl w:val="0"/>
        </w:rPr>
        <w:t xml:space="preserve">Getting Started with Fund Platform Investing: A Step-by-Step Guide</w:t>
      </w:r>
    </w:p>
    <w:p w:rsidR="00000000" w:rsidDel="00000000" w:rsidP="00000000" w:rsidRDefault="00000000" w:rsidRPr="00000000" w14:paraId="00000002">
      <w:pPr>
        <w:spacing w:after="240" w:before="240" w:lineRule="auto"/>
        <w:rPr/>
      </w:pPr>
      <w:r w:rsidDel="00000000" w:rsidR="00000000" w:rsidRPr="00000000">
        <w:rPr>
          <w:rtl w:val="0"/>
        </w:rPr>
        <w:t xml:space="preserve">Fund platforms provide professional investment management through diversified portfolios accessible to individual investors. Modern platforms like Moolah Capital combine traditional fund investing processes with blockchain security and investor control, offering institutional-grade investment access while maintaining individual ownership of assets.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lksfwo0mzur" w:id="1"/>
      <w:bookmarkEnd w:id="1"/>
      <w:r w:rsidDel="00000000" w:rsidR="00000000" w:rsidRPr="00000000">
        <w:rPr>
          <w:b w:val="1"/>
          <w:sz w:val="34"/>
          <w:szCs w:val="34"/>
          <w:rtl w:val="0"/>
        </w:rPr>
        <w:t xml:space="preserve">Understanding Fund Platform Architecture</w:t>
      </w:r>
    </w:p>
    <w:p w:rsidR="00000000" w:rsidDel="00000000" w:rsidP="00000000" w:rsidRDefault="00000000" w:rsidRPr="00000000" w14:paraId="00000004">
      <w:pPr>
        <w:spacing w:after="240" w:before="240" w:lineRule="auto"/>
        <w:rPr/>
      </w:pPr>
      <w:r w:rsidDel="00000000" w:rsidR="00000000" w:rsidRPr="00000000">
        <w:rPr>
          <w:rtl w:val="0"/>
        </w:rPr>
        <w:t xml:space="preserve">Fund platforms operate as intermediaries connecting investors with professional fund managers while providing technology infrastructure for portfolio management.</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b w:val="1"/>
          <w:rtl w:val="0"/>
        </w:rPr>
        <w:t xml:space="preserve">Fund Selection and Curation</w:t>
      </w:r>
      <w:r w:rsidDel="00000000" w:rsidR="00000000" w:rsidRPr="00000000">
        <w:rPr>
          <w:rtl w:val="0"/>
        </w:rPr>
        <w:t xml:space="preserve">: Platforms maintain curated selections of investment funds including equity funds, bond funds, sector-specific funds, and alternative investment vehicles. Professional research teams conduct due diligence on fund managers, investment strategies, and historical performance to ensure quality standards.</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b w:val="1"/>
          <w:rtl w:val="0"/>
        </w:rPr>
        <w:t xml:space="preserve">Technology Infrastructure</w:t>
      </w:r>
      <w:r w:rsidDel="00000000" w:rsidR="00000000" w:rsidRPr="00000000">
        <w:rPr>
          <w:rtl w:val="0"/>
        </w:rPr>
        <w:t xml:space="preserve">: Modern platforms provide web-based interfaces, mobile applications, and API access for portfolio management. Technology systems handle order routing, settlement processing, performance reporting, and tax documentation through automated systems that operate 24/7.</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Investor Account Management</w:t>
      </w:r>
      <w:r w:rsidDel="00000000" w:rsidR="00000000" w:rsidRPr="00000000">
        <w:rPr>
          <w:rtl w:val="0"/>
        </w:rPr>
        <w:t xml:space="preserve">: Platforms manage individual investor accounts including identity verification, fund allocation tracking, and transaction history. Account management systems maintain detailed records of investments, distributions, and tax-related information for regulatory compliance and investor reporting.</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Professional Oversight and Compliance</w:t>
      </w:r>
      <w:r w:rsidDel="00000000" w:rsidR="00000000" w:rsidRPr="00000000">
        <w:rPr>
          <w:rtl w:val="0"/>
        </w:rPr>
        <w:t xml:space="preserve">: Fund platforms operate under regulatory frameworks requiring investor protection, proper documentation, and compliance monitoring. Professional oversight includes ongoing fund performance evaluation, risk assessment, and regulatory reporting to ensure investor interests are protected.</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wc3a1bw24v16" w:id="2"/>
      <w:bookmarkEnd w:id="2"/>
      <w:r w:rsidDel="00000000" w:rsidR="00000000" w:rsidRPr="00000000">
        <w:rPr>
          <w:b w:val="1"/>
          <w:sz w:val="34"/>
          <w:szCs w:val="34"/>
          <w:rtl w:val="0"/>
        </w:rPr>
        <w:t xml:space="preserve">Account Opening and Verification Process</w:t>
      </w:r>
    </w:p>
    <w:p w:rsidR="00000000" w:rsidDel="00000000" w:rsidP="00000000" w:rsidRDefault="00000000" w:rsidRPr="00000000" w14:paraId="0000000A">
      <w:pPr>
        <w:spacing w:after="240" w:before="240" w:lineRule="auto"/>
        <w:rPr/>
      </w:pPr>
      <w:r w:rsidDel="00000000" w:rsidR="00000000" w:rsidRPr="00000000">
        <w:rPr>
          <w:rtl w:val="0"/>
        </w:rPr>
        <w:t xml:space="preserve">Starting with fund platforms involves standardized account opening procedures designed to meet regulatory requirements while providing streamlined user experience.</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Initial Registration and Identity Verification</w:t>
      </w:r>
      <w:r w:rsidDel="00000000" w:rsidR="00000000" w:rsidRPr="00000000">
        <w:rPr>
          <w:rtl w:val="0"/>
        </w:rPr>
        <w:t xml:space="preserve">: Account opening begins with online registration requiring personal information including full name, address, date of birth, and government identification numbers. Identity verification uses document scanning technology to verify passports, driving licenses, or national identity cards.</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Financial Information and Risk Assessment</w:t>
      </w:r>
      <w:r w:rsidDel="00000000" w:rsidR="00000000" w:rsidRPr="00000000">
        <w:rPr>
          <w:rtl w:val="0"/>
        </w:rPr>
        <w:t xml:space="preserve">: Platforms collect financial information including income, net worth, investment experience, and risk tolerance through detailed questionnaires. Risk assessment determines suitable investment options and ensures compliance with investor protection regulations.</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Investment Objectives and Time Horizon</w:t>
      </w:r>
      <w:r w:rsidDel="00000000" w:rsidR="00000000" w:rsidRPr="00000000">
        <w:rPr>
          <w:rtl w:val="0"/>
        </w:rPr>
        <w:t xml:space="preserve">: Account setup includes defining investment goals such as retirement planning, wealth accumulation, or income generation. Time horizon assessment helps determine appropriate asset allocation and fund selection for individual circumstances.</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Funding Account Setup</w:t>
      </w:r>
      <w:r w:rsidDel="00000000" w:rsidR="00000000" w:rsidRPr="00000000">
        <w:rPr>
          <w:rtl w:val="0"/>
        </w:rPr>
        <w:t xml:space="preserve">: Initial funding requires bank account verification and transfer authorization. Platforms typically accept bank transfers, debit card deposits, and wire transfers with minimum investment amounts ranging from £500 to £5,000 depending on fund requirements.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morkmgh1qjvb" w:id="3"/>
      <w:bookmarkEnd w:id="3"/>
      <w:r w:rsidDel="00000000" w:rsidR="00000000" w:rsidRPr="00000000">
        <w:rPr>
          <w:b w:val="1"/>
          <w:sz w:val="34"/>
          <w:szCs w:val="34"/>
          <w:rtl w:val="0"/>
        </w:rPr>
        <w:t xml:space="preserve">Fund Selection and Portfolio Construction</w:t>
      </w:r>
    </w:p>
    <w:p w:rsidR="00000000" w:rsidDel="00000000" w:rsidP="00000000" w:rsidRDefault="00000000" w:rsidRPr="00000000" w14:paraId="00000010">
      <w:pPr>
        <w:spacing w:after="240" w:before="240" w:lineRule="auto"/>
        <w:rPr/>
      </w:pPr>
      <w:r w:rsidDel="00000000" w:rsidR="00000000" w:rsidRPr="00000000">
        <w:rPr>
          <w:rtl w:val="0"/>
        </w:rPr>
        <w:t xml:space="preserve">Professional fund platforms guide investors through fund selection processes while providing tools for portfolio optimization and diversification.</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Investment Universe Access</w:t>
      </w:r>
      <w:r w:rsidDel="00000000" w:rsidR="00000000" w:rsidRPr="00000000">
        <w:rPr>
          <w:rtl w:val="0"/>
        </w:rPr>
        <w:t xml:space="preserve">: Platforms provide access to hundreds of investment funds across different asset classes, geographic regions, and investment styles. Fund categorization includes growth funds, value funds, index funds, sector funds, and alternative investment strategies.</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b w:val="1"/>
          <w:rtl w:val="0"/>
        </w:rPr>
        <w:t xml:space="preserve">Risk-Based Portfolio Recommendations</w:t>
      </w:r>
      <w:r w:rsidDel="00000000" w:rsidR="00000000" w:rsidRPr="00000000">
        <w:rPr>
          <w:rtl w:val="0"/>
        </w:rPr>
        <w:t xml:space="preserve">: Automated portfolio construction tools recommend fund allocations based on investor risk profiles, time horizons, and investment objectives. Recommendations typically suggest diversified portfolios with specific percentage allocations across different fund categories.</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Professional Fund Analysis</w:t>
      </w:r>
      <w:r w:rsidDel="00000000" w:rsidR="00000000" w:rsidRPr="00000000">
        <w:rPr>
          <w:rtl w:val="0"/>
        </w:rPr>
        <w:t xml:space="preserve">: Platforms provide detailed fund information including manager biographies, investment strategies, historical performance, fee structures, and risk metrics. Professional analysis includes peer comparisons, style analysis, and performance attribution to help investors make informed decisions.</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Minimum Investment Requirements</w:t>
      </w:r>
      <w:r w:rsidDel="00000000" w:rsidR="00000000" w:rsidRPr="00000000">
        <w:rPr>
          <w:rtl w:val="0"/>
        </w:rPr>
        <w:t xml:space="preserve">: Individual funds may have minimum investment thresholds ranging from £100 to £10,000 or more. Platforms often provide fractional share investing enabling smaller investors to access funds with higher minimum requirements through pooled investment vehicles.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953jnbw763n" w:id="4"/>
      <w:bookmarkEnd w:id="4"/>
      <w:r w:rsidDel="00000000" w:rsidR="00000000" w:rsidRPr="00000000">
        <w:rPr>
          <w:b w:val="1"/>
          <w:sz w:val="34"/>
          <w:szCs w:val="34"/>
          <w:rtl w:val="0"/>
        </w:rPr>
        <w:t xml:space="preserve">Moolah Capital's Blockchain Security Architecture</w:t>
      </w:r>
    </w:p>
    <w:p w:rsidR="00000000" w:rsidDel="00000000" w:rsidP="00000000" w:rsidRDefault="00000000" w:rsidRPr="00000000" w14:paraId="00000016">
      <w:pPr>
        <w:spacing w:after="240" w:before="240" w:lineRule="auto"/>
        <w:rPr/>
      </w:pPr>
      <w:r w:rsidDel="00000000" w:rsidR="00000000" w:rsidRPr="00000000">
        <w:rPr>
          <w:rtl w:val="0"/>
        </w:rPr>
        <w:t xml:space="preserve">Moolah Capital differentiates itself through blockchain-based security infrastructure that provides enhanced transparency and investor control compared to traditional fund platforms.</w:t>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b w:val="1"/>
          <w:rtl w:val="0"/>
        </w:rPr>
        <w:t xml:space="preserve">Blockchain Transaction Recording</w:t>
      </w:r>
      <w:r w:rsidDel="00000000" w:rsidR="00000000" w:rsidRPr="00000000">
        <w:rPr>
          <w:rtl w:val="0"/>
        </w:rPr>
        <w:t xml:space="preserve">: All fund transactions, deposits, withdrawals, and portfolio changes are recorded on blockchain networks providing immutable transaction history. Blockchain recording ensures complete transparency and prevents unauthorized changes to investment records or account balances.</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b w:val="1"/>
          <w:rtl w:val="0"/>
        </w:rPr>
        <w:t xml:space="preserve">Decentralized Asset Custody</w:t>
      </w:r>
      <w:r w:rsidDel="00000000" w:rsidR="00000000" w:rsidRPr="00000000">
        <w:rPr>
          <w:rtl w:val="0"/>
        </w:rPr>
        <w:t xml:space="preserve">: Unlike traditional platforms where the platform controls investor funds, Moolah Capital employs decentralized custody solutions where investors maintain control over their assets through cryptographic keys. This structure eliminates counterparty risk and prevents platform-controlled fund movements.</w:t>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Smart Contract Fund Management</w:t>
      </w:r>
      <w:r w:rsidDel="00000000" w:rsidR="00000000" w:rsidRPr="00000000">
        <w:rPr>
          <w:rtl w:val="0"/>
        </w:rPr>
        <w:t xml:space="preserve">: Investment funds operate through smart contracts that automatically execute investment strategies, fee calculations, and distribution payments without manual intervention. Smart contract transparency allows investors to verify fund operations and ensure compliance with stated investment objectives.</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Multi-Signature Security Protocols</w:t>
      </w:r>
      <w:r w:rsidDel="00000000" w:rsidR="00000000" w:rsidRPr="00000000">
        <w:rPr>
          <w:rtl w:val="0"/>
        </w:rPr>
        <w:t xml:space="preserve">: Asset movements require multiple cryptographic signatures including investor authorization, fund manager approval, and platform verification. Multi-signature requirements prevent unauthorized fund access while maintaining operational efficiency for legitimate transactions.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mm3d4jfxmjdo" w:id="5"/>
      <w:bookmarkEnd w:id="5"/>
      <w:r w:rsidDel="00000000" w:rsidR="00000000" w:rsidRPr="00000000">
        <w:rPr>
          <w:b w:val="1"/>
          <w:sz w:val="34"/>
          <w:szCs w:val="34"/>
          <w:rtl w:val="0"/>
        </w:rPr>
        <w:t xml:space="preserve">Investor Control and Asset Ownership</w:t>
      </w:r>
    </w:p>
    <w:p w:rsidR="00000000" w:rsidDel="00000000" w:rsidP="00000000" w:rsidRDefault="00000000" w:rsidRPr="00000000" w14:paraId="0000001C">
      <w:pPr>
        <w:spacing w:after="240" w:before="240" w:lineRule="auto"/>
        <w:rPr/>
      </w:pPr>
      <w:r w:rsidDel="00000000" w:rsidR="00000000" w:rsidRPr="00000000">
        <w:rPr>
          <w:rtl w:val="0"/>
        </w:rPr>
        <w:t xml:space="preserve">Modern blockchain-based platforms provide investors with unprecedented control over their assets while maintaining professional fund management benefits.</w:t>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rPr>
          <w:b w:val="1"/>
          <w:rtl w:val="0"/>
        </w:rPr>
        <w:t xml:space="preserve">Private Key Management</w:t>
      </w:r>
      <w:r w:rsidDel="00000000" w:rsidR="00000000" w:rsidRPr="00000000">
        <w:rPr>
          <w:rtl w:val="0"/>
        </w:rPr>
        <w:t xml:space="preserve">: Investors control private keys that provide exclusive access to their investment accounts and assets. Private key control ensures that only investors can authorize fund movements, withdrawals, or portfolio changes regardless of platform operational status.</w:t>
      </w:r>
    </w:p>
    <w:p w:rsidR="00000000" w:rsidDel="00000000" w:rsidP="00000000" w:rsidRDefault="00000000" w:rsidRPr="00000000" w14:paraId="0000001E">
      <w:pPr>
        <w:spacing w:after="240" w:before="240" w:lineRule="auto"/>
        <w:rPr/>
      </w:pPr>
      <w:r w:rsidDel="00000000" w:rsidR="00000000" w:rsidRPr="00000000">
        <w:rPr>
          <w:rtl w:val="0"/>
        </w:rPr>
        <w:t xml:space="preserve">• </w:t>
      </w:r>
      <w:r w:rsidDel="00000000" w:rsidR="00000000" w:rsidRPr="00000000">
        <w:rPr>
          <w:b w:val="1"/>
          <w:rtl w:val="0"/>
        </w:rPr>
        <w:t xml:space="preserve">Non-Custodial Investment Structure</w:t>
      </w:r>
      <w:r w:rsidDel="00000000" w:rsidR="00000000" w:rsidRPr="00000000">
        <w:rPr>
          <w:rtl w:val="0"/>
        </w:rPr>
        <w:t xml:space="preserve">: Moolah Capital operates as a non-custodial platform meaning investor funds are never held or controlled by the platform itself. Investment assets remain under investor control at all times while benefiting from professional fund management and platform infrastructure.</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Real-Time Asset Verification</w:t>
      </w:r>
      <w:r w:rsidDel="00000000" w:rsidR="00000000" w:rsidRPr="00000000">
        <w:rPr>
          <w:rtl w:val="0"/>
        </w:rPr>
        <w:t xml:space="preserve">: Blockchain infrastructure enables real-time verification of asset ownership, fund performance, and portfolio composition. Investors can independently verify their holdings using blockchain explorers and smart contract interfaces without relying on platform reporting.</w:t>
      </w:r>
    </w:p>
    <w:p w:rsidR="00000000" w:rsidDel="00000000" w:rsidP="00000000" w:rsidRDefault="00000000" w:rsidRPr="00000000" w14:paraId="00000020">
      <w:pPr>
        <w:spacing w:after="240" w:before="240" w:lineRule="auto"/>
        <w:rPr/>
      </w:pPr>
      <w:r w:rsidDel="00000000" w:rsidR="00000000" w:rsidRPr="00000000">
        <w:rPr>
          <w:rtl w:val="0"/>
        </w:rPr>
        <w:t xml:space="preserve">• </w:t>
      </w:r>
      <w:r w:rsidDel="00000000" w:rsidR="00000000" w:rsidRPr="00000000">
        <w:rPr>
          <w:b w:val="1"/>
          <w:rtl w:val="0"/>
        </w:rPr>
        <w:t xml:space="preserve">Withdrawal and Transfer Freedom</w:t>
      </w:r>
      <w:r w:rsidDel="00000000" w:rsidR="00000000" w:rsidRPr="00000000">
        <w:rPr>
          <w:rtl w:val="0"/>
        </w:rPr>
        <w:t xml:space="preserve">: Investors maintain the ability to withdraw funds or transfer assets without platform permission or restrictions. This contrasts with traditional fund platforms that may impose withdrawal limitations, processing delays, or administrative restrictions on asset movements.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kabsrnmtl5w" w:id="6"/>
      <w:bookmarkEnd w:id="6"/>
      <w:r w:rsidDel="00000000" w:rsidR="00000000" w:rsidRPr="00000000">
        <w:rPr>
          <w:b w:val="1"/>
          <w:sz w:val="34"/>
          <w:szCs w:val="34"/>
          <w:rtl w:val="0"/>
        </w:rPr>
        <w:t xml:space="preserve">Investment Execution and Portfolio Management</w:t>
      </w:r>
    </w:p>
    <w:p w:rsidR="00000000" w:rsidDel="00000000" w:rsidP="00000000" w:rsidRDefault="00000000" w:rsidRPr="00000000" w14:paraId="00000022">
      <w:pPr>
        <w:spacing w:after="240" w:before="240" w:lineRule="auto"/>
        <w:rPr/>
      </w:pPr>
      <w:r w:rsidDel="00000000" w:rsidR="00000000" w:rsidRPr="00000000">
        <w:rPr>
          <w:rtl w:val="0"/>
        </w:rPr>
        <w:t xml:space="preserve">Fund platforms provide automated systems for investment execution, rebalancing, and ongoing portfolio management.</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Automated Investment Execution</w:t>
      </w:r>
      <w:r w:rsidDel="00000000" w:rsidR="00000000" w:rsidRPr="00000000">
        <w:rPr>
          <w:rtl w:val="0"/>
        </w:rPr>
        <w:t xml:space="preserve">: Recurring investment plans enable automatic monthly or quarterly investments using bank transfers or debit card payments. Automated execution includes dollar-cost averaging across selected funds and automatic rebalancing to maintain target portfolio allocations.</w:t>
      </w:r>
    </w:p>
    <w:p w:rsidR="00000000" w:rsidDel="00000000" w:rsidP="00000000" w:rsidRDefault="00000000" w:rsidRPr="00000000" w14:paraId="00000024">
      <w:pPr>
        <w:spacing w:after="240" w:before="240" w:lineRule="auto"/>
        <w:rPr/>
      </w:pPr>
      <w:r w:rsidDel="00000000" w:rsidR="00000000" w:rsidRPr="00000000">
        <w:rPr>
          <w:rtl w:val="0"/>
        </w:rPr>
        <w:t xml:space="preserve">• </w:t>
      </w:r>
      <w:r w:rsidDel="00000000" w:rsidR="00000000" w:rsidRPr="00000000">
        <w:rPr>
          <w:b w:val="1"/>
          <w:rtl w:val="0"/>
        </w:rPr>
        <w:t xml:space="preserve">Dynamic Rebalancing Systems</w:t>
      </w:r>
      <w:r w:rsidDel="00000000" w:rsidR="00000000" w:rsidRPr="00000000">
        <w:rPr>
          <w:rtl w:val="0"/>
        </w:rPr>
        <w:t xml:space="preserve">: Portfolio rebalancing occurs automatically when asset allocations drift beyond predetermined thresholds. Rebalancing systems consider transaction costs, tax implications, and market conditions to optimize rebalancing timing and minimize implementation costs.</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b w:val="1"/>
          <w:rtl w:val="0"/>
        </w:rPr>
        <w:t xml:space="preserve">Performance Monitoring and Reporting</w:t>
      </w:r>
      <w:r w:rsidDel="00000000" w:rsidR="00000000" w:rsidRPr="00000000">
        <w:rPr>
          <w:rtl w:val="0"/>
        </w:rPr>
        <w:t xml:space="preserve">: Comprehensive reporting systems provide real-time portfolio valuations, performance attribution, and comparative analysis. Performance reports include total returns, risk-adjusted metrics, and benchmark comparisons with detailed transaction history and fee breakdowns.</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Tax Optimization Features</w:t>
      </w:r>
      <w:r w:rsidDel="00000000" w:rsidR="00000000" w:rsidRPr="00000000">
        <w:rPr>
          <w:rtl w:val="0"/>
        </w:rPr>
        <w:t xml:space="preserve">: Advanced platforms provide tax-loss harvesting, tax-efficient fund placement, and automated tax document generation. Tax optimization helps minimize investor tax liability while maintaining desired portfolio exposure and risk characteristics.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aa49rk3niifr" w:id="7"/>
      <w:bookmarkEnd w:id="7"/>
      <w:r w:rsidDel="00000000" w:rsidR="00000000" w:rsidRPr="00000000">
        <w:rPr>
          <w:b w:val="1"/>
          <w:sz w:val="34"/>
          <w:szCs w:val="34"/>
          <w:rtl w:val="0"/>
        </w:rPr>
        <w:t xml:space="preserve">Ongoing Account Management and Support</w:t>
      </w:r>
    </w:p>
    <w:p w:rsidR="00000000" w:rsidDel="00000000" w:rsidP="00000000" w:rsidRDefault="00000000" w:rsidRPr="00000000" w14:paraId="00000028">
      <w:pPr>
        <w:spacing w:after="240" w:before="240" w:lineRule="auto"/>
        <w:rPr/>
      </w:pPr>
      <w:r w:rsidDel="00000000" w:rsidR="00000000" w:rsidRPr="00000000">
        <w:rPr>
          <w:rtl w:val="0"/>
        </w:rPr>
        <w:t xml:space="preserve">Professional fund platforms provide comprehensive support services and account management tools for long-term investor success.</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b w:val="1"/>
          <w:rtl w:val="0"/>
        </w:rPr>
        <w:t xml:space="preserve">Customer Support and Education</w:t>
      </w:r>
      <w:r w:rsidDel="00000000" w:rsidR="00000000" w:rsidRPr="00000000">
        <w:rPr>
          <w:rtl w:val="0"/>
        </w:rPr>
        <w:t xml:space="preserve">: Platforms offer multiple support channels including live chat, phone support, and email assistance. Educational resources include investment guides, market analysis, webinars, and personal financial planning tools to help investors make informed decisions.</w:t>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b w:val="1"/>
          <w:rtl w:val="0"/>
        </w:rPr>
        <w:t xml:space="preserve">Regular Portfolio Reviews</w:t>
      </w:r>
      <w:r w:rsidDel="00000000" w:rsidR="00000000" w:rsidRPr="00000000">
        <w:rPr>
          <w:rtl w:val="0"/>
        </w:rPr>
        <w:t xml:space="preserve">: Automated systems monitor portfolio performance and recommend adjustments based on changing market conditions or investor circumstances. Regular reviews include risk assessment updates, goal progress tracking, and strategic allocation recommendations.</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Platform Updates and Enhancements</w:t>
      </w:r>
      <w:r w:rsidDel="00000000" w:rsidR="00000000" w:rsidRPr="00000000">
        <w:rPr>
          <w:rtl w:val="0"/>
        </w:rPr>
        <w:t xml:space="preserve">: Technology platforms continuously evolve with new features, enhanced security measures, and expanded fund offerings. Regular updates ensure investors benefit from latest investment technologies and improved user experiences.</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b w:val="1"/>
          <w:rtl w:val="0"/>
        </w:rPr>
        <w:t xml:space="preserve">Regulatory Compliance Maintenance</w:t>
      </w:r>
      <w:r w:rsidDel="00000000" w:rsidR="00000000" w:rsidRPr="00000000">
        <w:rPr>
          <w:rtl w:val="0"/>
        </w:rPr>
        <w:t xml:space="preserve">: Platforms handle ongoing regulatory compliance including tax reporting, regulatory filings, and investor protection measures. Compliance systems ensure investor accounts remain compliant with changing regulations without requiring individual investor action.</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ub02jpo9i1o2" w:id="8"/>
      <w:bookmarkEnd w:id="8"/>
      <w:r w:rsidDel="00000000" w:rsidR="00000000" w:rsidRPr="00000000">
        <w:rPr>
          <w:b w:val="1"/>
          <w:sz w:val="34"/>
          <w:szCs w:val="34"/>
          <w:rtl w:val="0"/>
        </w:rPr>
        <w:t xml:space="preserve">Fees and Cost Structure</w:t>
      </w:r>
    </w:p>
    <w:p w:rsidR="00000000" w:rsidDel="00000000" w:rsidP="00000000" w:rsidRDefault="00000000" w:rsidRPr="00000000" w14:paraId="0000002E">
      <w:pPr>
        <w:spacing w:after="240" w:before="240" w:lineRule="auto"/>
        <w:rPr/>
      </w:pPr>
      <w:r w:rsidDel="00000000" w:rsidR="00000000" w:rsidRPr="00000000">
        <w:rPr>
          <w:rtl w:val="0"/>
        </w:rPr>
        <w:t xml:space="preserve">Understanding platform fees and fund costs is essential for optimizing long-term investment returns.</w:t>
      </w:r>
    </w:p>
    <w:p w:rsidR="00000000" w:rsidDel="00000000" w:rsidP="00000000" w:rsidRDefault="00000000" w:rsidRPr="00000000" w14:paraId="0000002F">
      <w:pPr>
        <w:spacing w:after="240" w:before="240" w:lineRule="auto"/>
        <w:rPr/>
      </w:pPr>
      <w:r w:rsidDel="00000000" w:rsidR="00000000" w:rsidRPr="00000000">
        <w:rPr>
          <w:rtl w:val="0"/>
        </w:rPr>
        <w:t xml:space="preserve">• </w:t>
      </w:r>
      <w:r w:rsidDel="00000000" w:rsidR="00000000" w:rsidRPr="00000000">
        <w:rPr>
          <w:b w:val="1"/>
          <w:rtl w:val="0"/>
        </w:rPr>
        <w:t xml:space="preserve">Platform Management Fees</w:t>
      </w:r>
      <w:r w:rsidDel="00000000" w:rsidR="00000000" w:rsidRPr="00000000">
        <w:rPr>
          <w:rtl w:val="0"/>
        </w:rPr>
        <w:t xml:space="preserve">: Fund platforms typically charge annual management fees ranging from 0.25% to 1% of invested assets. Management fees cover platform technology, customer support, regulatory compliance, and investment research services.</w:t>
      </w:r>
    </w:p>
    <w:p w:rsidR="00000000" w:rsidDel="00000000" w:rsidP="00000000" w:rsidRDefault="00000000" w:rsidRPr="00000000" w14:paraId="00000030">
      <w:pPr>
        <w:spacing w:after="240" w:before="240" w:lineRule="auto"/>
        <w:rPr/>
      </w:pPr>
      <w:r w:rsidDel="00000000" w:rsidR="00000000" w:rsidRPr="00000000">
        <w:rPr>
          <w:rtl w:val="0"/>
        </w:rPr>
        <w:t xml:space="preserve">• </w:t>
      </w:r>
      <w:r w:rsidDel="00000000" w:rsidR="00000000" w:rsidRPr="00000000">
        <w:rPr>
          <w:b w:val="1"/>
          <w:rtl w:val="0"/>
        </w:rPr>
        <w:t xml:space="preserve">Underlying Fund Expenses</w:t>
      </w:r>
      <w:r w:rsidDel="00000000" w:rsidR="00000000" w:rsidRPr="00000000">
        <w:rPr>
          <w:rtl w:val="0"/>
        </w:rPr>
        <w:t xml:space="preserve">: Individual funds charge expense ratios covering fund management, administrative costs, and marketing expenses. Expense ratios vary significantly across fund types with passive index funds charging 0.05% to 0.2% and actively managed funds charging 0.5% to 2% annually.</w:t>
      </w:r>
    </w:p>
    <w:p w:rsidR="00000000" w:rsidDel="00000000" w:rsidP="00000000" w:rsidRDefault="00000000" w:rsidRPr="00000000" w14:paraId="00000031">
      <w:pPr>
        <w:spacing w:after="240" w:before="240" w:lineRule="auto"/>
        <w:rPr/>
      </w:pPr>
      <w:r w:rsidDel="00000000" w:rsidR="00000000" w:rsidRPr="00000000">
        <w:rPr>
          <w:rtl w:val="0"/>
        </w:rPr>
        <w:t xml:space="preserve">• </w:t>
      </w:r>
      <w:r w:rsidDel="00000000" w:rsidR="00000000" w:rsidRPr="00000000">
        <w:rPr>
          <w:b w:val="1"/>
          <w:rtl w:val="0"/>
        </w:rPr>
        <w:t xml:space="preserve">Transaction and Trading Costs</w:t>
      </w:r>
      <w:r w:rsidDel="00000000" w:rsidR="00000000" w:rsidRPr="00000000">
        <w:rPr>
          <w:rtl w:val="0"/>
        </w:rPr>
        <w:t xml:space="preserve">: Some platforms charge transaction fees for fund purchases, sales, or exchanges. Modern platforms increasingly offer commission-free tradin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