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dctohtan575" w:id="0"/>
      <w:bookmarkEnd w:id="0"/>
      <w:r w:rsidDel="00000000" w:rsidR="00000000" w:rsidRPr="00000000">
        <w:rPr>
          <w:b w:val="1"/>
          <w:sz w:val="46"/>
          <w:szCs w:val="46"/>
          <w:rtl w:val="0"/>
        </w:rPr>
        <w:t xml:space="preserve">AI and LLM-Powered Portfolio Rebalancing</w:t>
      </w:r>
    </w:p>
    <w:p w:rsidR="00000000" w:rsidDel="00000000" w:rsidP="00000000" w:rsidRDefault="00000000" w:rsidRPr="00000000" w14:paraId="00000002">
      <w:pPr>
        <w:spacing w:after="240" w:before="240" w:lineRule="auto"/>
        <w:rPr/>
      </w:pPr>
      <w:r w:rsidDel="00000000" w:rsidR="00000000" w:rsidRPr="00000000">
        <w:rPr>
          <w:rtl w:val="0"/>
        </w:rPr>
        <w:t xml:space="preserve">At Moolah Capital we combine traditional </w:t>
      </w:r>
      <w:r w:rsidDel="00000000" w:rsidR="00000000" w:rsidRPr="00000000">
        <w:rPr>
          <w:rtl w:val="0"/>
        </w:rPr>
        <w:t xml:space="preserve">Portfolio rebalancing with intelligent, data-driven processes powered by artificial intelligence (AI) and large language models (LLM). These technologies enable dynamic rebalancing decisions based on market conditions, news analysis, and quantitative signals rather than arbitrary time intervals.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os13zffunhl" w:id="1"/>
      <w:bookmarkEnd w:id="1"/>
      <w:r w:rsidDel="00000000" w:rsidR="00000000" w:rsidRPr="00000000">
        <w:rPr>
          <w:b w:val="1"/>
          <w:sz w:val="34"/>
          <w:szCs w:val="34"/>
          <w:rtl w:val="0"/>
        </w:rPr>
        <w:t xml:space="preserve">AI-Driven Rebalancing </w:t>
      </w:r>
    </w:p>
    <w:p w:rsidR="00000000" w:rsidDel="00000000" w:rsidP="00000000" w:rsidRDefault="00000000" w:rsidRPr="00000000" w14:paraId="00000004">
      <w:pPr>
        <w:spacing w:after="240" w:before="240" w:lineRule="auto"/>
        <w:rPr/>
      </w:pPr>
      <w:r w:rsidDel="00000000" w:rsidR="00000000" w:rsidRPr="00000000">
        <w:rPr>
          <w:rtl w:val="0"/>
        </w:rPr>
        <w:t xml:space="preserve">AI-based</w:t>
      </w:r>
      <w:r w:rsidDel="00000000" w:rsidR="00000000" w:rsidRPr="00000000">
        <w:rPr>
          <w:rtl w:val="0"/>
        </w:rPr>
        <w:t xml:space="preserve"> rebalancing systems replace fixed schedules with intelligent trigger mechanisms that respond to market conditions and portfolio change.</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Threshold-Based Rebalancing with Machine Learning</w:t>
      </w:r>
      <w:r w:rsidDel="00000000" w:rsidR="00000000" w:rsidRPr="00000000">
        <w:rPr>
          <w:rtl w:val="0"/>
        </w:rPr>
        <w:t xml:space="preserve">: Random forest models analyze historical portfolio performance to optimize rebalancing thresholds for each asset class. Instead of fixed drift rules, the system sets dynamic thresholds based on asset volatility, correlation stability, and transaction costs. Models retrain monthly using rolling monthly windows to adapt threshold sensitivity.</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Volatility Regime Detection</w:t>
      </w:r>
      <w:r w:rsidDel="00000000" w:rsidR="00000000" w:rsidRPr="00000000">
        <w:rPr>
          <w:rtl w:val="0"/>
        </w:rPr>
        <w:t xml:space="preserve">: Hidden Markov Models identify market volatility regimes (e.g., low, medium, high) using VIX levels, realized volatility, and correlation breakdowns. For example, during high volatility regimes, rebalancing frequency increases from monthly to weekly, while low volatility periods extend intervals to quarterly to minimize transaction costs.</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News-Driven Rebalancing Signals</w:t>
      </w:r>
      <w:r w:rsidDel="00000000" w:rsidR="00000000" w:rsidRPr="00000000">
        <w:rPr>
          <w:rtl w:val="0"/>
        </w:rPr>
        <w:t xml:space="preserve">: Large Language Models process news, earnings reports, regulatory announcements to identify events requiring immediate portfolio adjustments. LLM models fine-tuned on financial texts classify news sentiment as portfolio-positive, portfolio-negative, or neutral, triggering rebalancing when negative sentiment scores exceed a threshold.</w:t>
      </w:r>
    </w:p>
    <w:p w:rsidR="00000000" w:rsidDel="00000000" w:rsidP="00000000" w:rsidRDefault="00000000" w:rsidRPr="00000000" w14:paraId="00000008">
      <w:pPr>
        <w:numPr>
          <w:ilvl w:val="0"/>
          <w:numId w:val="9"/>
        </w:numPr>
        <w:spacing w:after="240" w:before="0" w:beforeAutospacing="0" w:lineRule="auto"/>
        <w:ind w:left="720" w:hanging="360"/>
      </w:pPr>
      <w:r w:rsidDel="00000000" w:rsidR="00000000" w:rsidRPr="00000000">
        <w:rPr>
          <w:b w:val="1"/>
          <w:rtl w:val="0"/>
        </w:rPr>
        <w:t xml:space="preserve">Technical Signal Integration</w:t>
      </w:r>
      <w:r w:rsidDel="00000000" w:rsidR="00000000" w:rsidRPr="00000000">
        <w:rPr>
          <w:rtl w:val="0"/>
        </w:rPr>
        <w:t xml:space="preserve">: Gradient boosting combines momentum indicators, mean reversion signals, and support/resistance levels to generate rebalancing timing signals. The system processes 50-day moving averages, RSI readings, and Bollinger Band positions to identify optimal entry/exit points for rebalancing trades.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x85w3gp95ihs" w:id="2"/>
      <w:bookmarkEnd w:id="2"/>
      <w:r w:rsidDel="00000000" w:rsidR="00000000" w:rsidRPr="00000000">
        <w:rPr>
          <w:b w:val="1"/>
          <w:sz w:val="34"/>
          <w:szCs w:val="34"/>
          <w:rtl w:val="0"/>
        </w:rPr>
        <w:t xml:space="preserve">LLM Applications in Rebalancing Decisions</w:t>
      </w:r>
    </w:p>
    <w:p w:rsidR="00000000" w:rsidDel="00000000" w:rsidP="00000000" w:rsidRDefault="00000000" w:rsidRPr="00000000" w14:paraId="0000000A">
      <w:pPr>
        <w:spacing w:after="240" w:before="240" w:lineRule="auto"/>
        <w:rPr/>
      </w:pPr>
      <w:r w:rsidDel="00000000" w:rsidR="00000000" w:rsidRPr="00000000">
        <w:rPr>
          <w:rtl w:val="0"/>
        </w:rPr>
        <w:t xml:space="preserve">Large Language Models enhance portfolio management by processing unstructured data sources across different asset classes that traditional quantitative models cannot analyze.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Cross-Asset News Sentiment Analysis</w:t>
      </w:r>
      <w:r w:rsidDel="00000000" w:rsidR="00000000" w:rsidRPr="00000000">
        <w:rPr>
          <w:rtl w:val="0"/>
        </w:rPr>
        <w:t xml:space="preserve">: Fine-tuned transformer models process real-time news feeds from Reuters, Bloomberg, and social media to generate sentiment scores for equities, crypto, commodities, and indices. The system classifies news sentiment on a scale, triggering rebalancing when aggregate sentiment shifts exceed a threshold for any asset class. Models can update sentiment scores during market hours.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Multi-Asset Regulatory Impact Assessment</w:t>
      </w:r>
      <w:r w:rsidDel="00000000" w:rsidR="00000000" w:rsidRPr="00000000">
        <w:rPr>
          <w:rtl w:val="0"/>
        </w:rPr>
        <w:t xml:space="preserve">: LLM systems process regulatory announcements from financial regulators, and central banks to identify cross-asset impacts. Custom models trained on regulatory texts classify policy changes affecting equity indices (ETF regulations), crypto markets (stablecoin rules), and currency markets (capital controls), automatically adjusting allocations when high-impact regulations are detected.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Social Media and Forum Analysis</w:t>
      </w:r>
      <w:r w:rsidDel="00000000" w:rsidR="00000000" w:rsidRPr="00000000">
        <w:rPr>
          <w:rtl w:val="0"/>
        </w:rPr>
        <w:t xml:space="preserve">: Specialized NLP models analyze web discussions, Twitter sentiment, and Telegram channels to gauge retail investor sentiment across crypto, meme stocks, and sector ETFs. The system processes 100,000+ posts daily, identifying trending assets and sentiment shifts that predict short-term price movements, with rebalancing adjustments when sentiment momentum exceeds 1 or 2 standard deviations.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Economic Data and Research Interpretation</w:t>
      </w:r>
      <w:r w:rsidDel="00000000" w:rsidR="00000000" w:rsidRPr="00000000">
        <w:rPr>
          <w:rtl w:val="0"/>
        </w:rPr>
        <w:t xml:space="preserve">: LLM models process economic research papers, central bank reports, and institutional research to identify macro themes affecting asset allocation. The system extracts key insights about inflation trends, growth forecasts, and policy implications, converting qualitative analysis into quantitative allocation adjustments across equity indices, bonds, commodities, and alternative assets.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Earnings Call Analysis</w:t>
      </w:r>
      <w:r w:rsidDel="00000000" w:rsidR="00000000" w:rsidRPr="00000000">
        <w:rPr>
          <w:rtl w:val="0"/>
        </w:rPr>
        <w:t xml:space="preserve">: Fine-tuned BERT models analyze management guidance, capital allocation discussions, and forward-looking statements from quarterly earnings calls. The models extract specific metrics like expected revenue growth, margin expansion plans, and capital expenditure changes, converting qualitative guidance into quantitative weight adjustments per position.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ls6mn5e54nt" w:id="3"/>
      <w:bookmarkEnd w:id="3"/>
      <w:r w:rsidDel="00000000" w:rsidR="00000000" w:rsidRPr="00000000">
        <w:rPr>
          <w:b w:val="1"/>
          <w:sz w:val="34"/>
          <w:szCs w:val="34"/>
          <w:rtl w:val="0"/>
        </w:rPr>
        <w:t xml:space="preserve">Portfolio Optimization and Risk Profile Management</w:t>
      </w:r>
    </w:p>
    <w:p w:rsidR="00000000" w:rsidDel="00000000" w:rsidP="00000000" w:rsidRDefault="00000000" w:rsidRPr="00000000" w14:paraId="00000011">
      <w:pPr>
        <w:spacing w:after="240" w:before="240" w:lineRule="auto"/>
        <w:rPr/>
      </w:pPr>
      <w:r w:rsidDel="00000000" w:rsidR="00000000" w:rsidRPr="00000000">
        <w:rPr>
          <w:rtl w:val="0"/>
        </w:rPr>
        <w:t xml:space="preserve">AI systems integrate modern portfolio theory with machine learning to optimize asset allocation while maintaining target risk profiles during rebalancing cycles.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Mean-Variance Optimization with AI Enhancement</w:t>
      </w:r>
      <w:r w:rsidDel="00000000" w:rsidR="00000000" w:rsidRPr="00000000">
        <w:rPr>
          <w:rtl w:val="0"/>
        </w:rPr>
        <w:t xml:space="preserve">: Quadratic programming solvers optimize portfolio weights using expected returns predicted by ensemble models combining LSTM networks, random forests, and linear regression. The system generates 1-month, 3-month, and 12-month return forecasts, feeding these predictions into Markowitz optimization frameworks that target specific risk-return profiles.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Risk Parity Implementation</w:t>
      </w:r>
      <w:r w:rsidDel="00000000" w:rsidR="00000000" w:rsidRPr="00000000">
        <w:rPr>
          <w:rtl w:val="0"/>
        </w:rPr>
        <w:t xml:space="preserve">: Hierarchical Risk Parity algorithms allocate capital based on risk contribution rather than market capitalization weights. The system calculates risk contributions using 252-day rolling covariance matrices, ensuring each asset class contributes equally to portfolio volatility. Machine learning models predict optimal rebalancing frequency for risk parity portfolios, typically every 3-4 weeks to maintain equal risk contributions.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Black-Litterman Model Integration</w:t>
      </w:r>
      <w:r w:rsidDel="00000000" w:rsidR="00000000" w:rsidRPr="00000000">
        <w:rPr>
          <w:rtl w:val="0"/>
        </w:rPr>
        <w:t xml:space="preserve">: Bayesian optimization combines market equilibrium returns with investor views generated by sentiment analysis of analyst reports and news flow. LLM-processed market views adjust equilibrium returns based on conviction levels, with the optimization algorithm blending these views with historical returns using confidence intervals derived from prediction model accuracy.</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Target Volatility Adjustment</w:t>
      </w:r>
      <w:r w:rsidDel="00000000" w:rsidR="00000000" w:rsidRPr="00000000">
        <w:rPr>
          <w:rtl w:val="0"/>
        </w:rPr>
        <w:t xml:space="preserve">: GARCH models forecast portfolio volatility over 1-month horizons, with reinforcement learning agents adjusting position sizes to maintain target volatility levels between a certain target annually. When predicted volatility exceeds targets, the system reduces equity exposure and increases cash or low-volatility assets to maintain risk profile consistency.</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m9a90psgi75i" w:id="4"/>
      <w:bookmarkEnd w:id="4"/>
      <w:r w:rsidDel="00000000" w:rsidR="00000000" w:rsidRPr="00000000">
        <w:rPr>
          <w:b w:val="1"/>
          <w:sz w:val="34"/>
          <w:szCs w:val="34"/>
          <w:rtl w:val="0"/>
        </w:rPr>
        <w:t xml:space="preserve">Risk Profile Adaptation and Constraint Management</w:t>
      </w:r>
    </w:p>
    <w:p w:rsidR="00000000" w:rsidDel="00000000" w:rsidP="00000000" w:rsidRDefault="00000000" w:rsidRPr="00000000" w14:paraId="00000017">
      <w:pPr>
        <w:spacing w:after="240" w:before="240" w:lineRule="auto"/>
        <w:rPr/>
      </w:pPr>
      <w:r w:rsidDel="00000000" w:rsidR="00000000" w:rsidRPr="00000000">
        <w:rPr>
          <w:rtl w:val="0"/>
        </w:rPr>
        <w:t xml:space="preserve">AI systems monitor and adjust portfolio risk characteristics in real-time, ensuring rebalancing decisions align with mandated risk profiles and regulatory constraints.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Value at Risk Constraint Optimization</w:t>
      </w:r>
      <w:r w:rsidDel="00000000" w:rsidR="00000000" w:rsidRPr="00000000">
        <w:rPr>
          <w:rtl w:val="0"/>
        </w:rPr>
        <w:t xml:space="preserve">: Monte Carlo simulations with 10,000 iterations calculate 1-day and 10-day VaR at 95% and 99% confidence levels, with constraint optimization ensuring VaR limits are not breached during rebalancing. When projected VaR exceeds limits, the system automatically reduces position sizes in the highest-contributing assets until risk targets are met.</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Tracking Error Minimization</w:t>
      </w:r>
      <w:r w:rsidDel="00000000" w:rsidR="00000000" w:rsidRPr="00000000">
        <w:rPr>
          <w:rtl w:val="0"/>
        </w:rPr>
        <w:t xml:space="preserve">: Quadratic programming algorithms minimize tracking error relative to benchmark indices while implementing tactical allocation changes. The system maintains tracking error below a minimal threshold annually for index-strategies and for actively managed mandates, with real-time monitoring triggering rebalancing when tracking error approaches limits.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Sector and Geographic Constraints</w:t>
      </w:r>
      <w:r w:rsidDel="00000000" w:rsidR="00000000" w:rsidRPr="00000000">
        <w:rPr>
          <w:rtl w:val="0"/>
        </w:rPr>
        <w:t xml:space="preserve">: Linear programming optimization incorporates maximum position limits, sector concentration limits, and asset allocation constraints. The system automatically adjusts individual position sizes during rebalancing to maintain compliance with investment mandates while optimizing risk-adjusted returns.</w:t>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b w:val="1"/>
          <w:rtl w:val="0"/>
        </w:rPr>
        <w:t xml:space="preserve">Drawdown Control Mechanisms</w:t>
      </w:r>
      <w:r w:rsidDel="00000000" w:rsidR="00000000" w:rsidRPr="00000000">
        <w:rPr>
          <w:rtl w:val="0"/>
        </w:rPr>
        <w:t xml:space="preserve">: Time series models predict maximum drawdown probabilities using historical volatility, correlation patterns, and current position concentration. When predicted maximum drawdown exceeds a minimum value with 90% confidence, the system triggers defensive rebalancing by increasing cash positions and reducing equity exposure.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s8zni744cok" w:id="5"/>
      <w:bookmarkEnd w:id="5"/>
      <w:r w:rsidDel="00000000" w:rsidR="00000000" w:rsidRPr="00000000">
        <w:rPr>
          <w:b w:val="1"/>
          <w:sz w:val="34"/>
          <w:szCs w:val="34"/>
          <w:rtl w:val="0"/>
        </w:rPr>
        <w:t xml:space="preserve">Quantitative Rebalancing Optimization</w:t>
      </w:r>
    </w:p>
    <w:p w:rsidR="00000000" w:rsidDel="00000000" w:rsidP="00000000" w:rsidRDefault="00000000" w:rsidRPr="00000000" w14:paraId="0000001D">
      <w:pPr>
        <w:spacing w:after="240" w:before="240" w:lineRule="auto"/>
        <w:rPr/>
      </w:pPr>
      <w:r w:rsidDel="00000000" w:rsidR="00000000" w:rsidRPr="00000000">
        <w:rPr>
          <w:rtl w:val="0"/>
        </w:rPr>
        <w:t xml:space="preserve">AI systems optimize the mechanics of portfolio rebalancing through mathematical optimization and cost minimization techniques.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Transaction Cost Minimization</w:t>
      </w:r>
      <w:r w:rsidDel="00000000" w:rsidR="00000000" w:rsidRPr="00000000">
        <w:rPr>
          <w:rtl w:val="0"/>
        </w:rPr>
        <w:t xml:space="preserve">: Linear programming algorithms minimize total rebalancing costs by optimizing trade timing, order sizing, and venue selection. The system considers bid-ask spreads, market impact estimates, and commission structures to determine optimal execution strategies that reduce total implementation costs compared to market orders.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Tax-Loss Harvesting Integration</w:t>
      </w:r>
      <w:r w:rsidDel="00000000" w:rsidR="00000000" w:rsidRPr="00000000">
        <w:rPr>
          <w:rtl w:val="0"/>
        </w:rPr>
        <w:t xml:space="preserve">: Decision tree algorithms identify tax-loss harvesting opportunities during rebalancing cycles by analyzing unrealized gains/losses, holding periods, and wash sale restrictions. The system automatically sells positions with losses exceeding a target value while maintaining target portfolio exposures through correlated substitute securities.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Liquidity-Constrained Optimization</w:t>
      </w:r>
      <w:r w:rsidDel="00000000" w:rsidR="00000000" w:rsidRPr="00000000">
        <w:rPr>
          <w:rtl w:val="0"/>
        </w:rPr>
        <w:t xml:space="preserve">: Quadratic programming models incorporate daily volume limits, position size constraints, and market impact estimates to ensure rebalancing trades don't exceed a target percentage of average daily volume. The optimizer spreads large rebalancing trades across trading days when position changes exceed liquidity thresholds.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Factor Exposure Control</w:t>
      </w:r>
      <w:r w:rsidDel="00000000" w:rsidR="00000000" w:rsidRPr="00000000">
        <w:rPr>
          <w:rtl w:val="0"/>
        </w:rPr>
        <w:t xml:space="preserve">: Principal Component Analysis identifies dominant risk factors in portfolio returns, while optimization algorithms maintain factor neutrality during rebalancing. The system constrains exposure to the first three principal components within standard deviations of target levels while achieving desired sector and security weights.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rw4d9vmy38w6" w:id="6"/>
      <w:bookmarkEnd w:id="6"/>
      <w:r w:rsidDel="00000000" w:rsidR="00000000" w:rsidRPr="00000000">
        <w:rPr>
          <w:b w:val="1"/>
          <w:sz w:val="34"/>
          <w:szCs w:val="34"/>
          <w:rtl w:val="0"/>
        </w:rPr>
        <w:t xml:space="preserve">Dynamic Asset Allocation Adjustments</w:t>
      </w:r>
    </w:p>
    <w:p w:rsidR="00000000" w:rsidDel="00000000" w:rsidP="00000000" w:rsidRDefault="00000000" w:rsidRPr="00000000" w14:paraId="00000023">
      <w:pPr>
        <w:spacing w:after="240" w:before="240" w:lineRule="auto"/>
        <w:rPr/>
      </w:pPr>
      <w:r w:rsidDel="00000000" w:rsidR="00000000" w:rsidRPr="00000000">
        <w:rPr>
          <w:rtl w:val="0"/>
        </w:rPr>
        <w:t xml:space="preserve">AI systems enable tactical allocation changes that enhance strategic rebalancing with short-term market insights.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Momentum and Mean Reversion Signals</w:t>
      </w:r>
      <w:r w:rsidDel="00000000" w:rsidR="00000000" w:rsidRPr="00000000">
        <w:rPr>
          <w:rtl w:val="0"/>
        </w:rPr>
        <w:t xml:space="preserve">: Support Vector Machines classify monthly asset class returns as momentum or mean reversion regimes, adjusting allocation targets accordingly. During momentum regimes, the system increases allocations to outperforming assets, while mean reversion periods trigger increased allocations to underperforming assets.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Correlation Breakdown Detection</w:t>
      </w:r>
      <w:r w:rsidDel="00000000" w:rsidR="00000000" w:rsidRPr="00000000">
        <w:rPr>
          <w:rtl w:val="0"/>
        </w:rPr>
        <w:t xml:space="preserve">: Real-time correlation monitoring using exponentially weighted moving averages identifies when asset correlations exceed historical 95th percentiles. During correlation breakdown periods, the system increases cash allocations and reduces exposure to highly correlated asset pairs.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Sector Rotation Models</w:t>
      </w:r>
      <w:r w:rsidDel="00000000" w:rsidR="00000000" w:rsidRPr="00000000">
        <w:rPr>
          <w:rtl w:val="0"/>
        </w:rPr>
        <w:t xml:space="preserve">: Long Short-Term Memory networks analyze sector performance cycles, earnings revisions, and economic indicators to predict sector outperformance over observed periods. </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Currency Hedging Adjustments</w:t>
      </w:r>
      <w:r w:rsidDel="00000000" w:rsidR="00000000" w:rsidRPr="00000000">
        <w:rPr>
          <w:rtl w:val="0"/>
        </w:rPr>
        <w:t xml:space="preserve">: Time series models forecast currency volatility and central bank policy divergence to optimize currency hedging ratios. The system adjusts hedging from 0% to 100% based on predicted currency volatility and interest rate differentials, with hedge ratio changes implemented during quarterly rebalancing cycles.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x80ul7c9ilwo" w:id="7"/>
      <w:bookmarkEnd w:id="7"/>
      <w:r w:rsidDel="00000000" w:rsidR="00000000" w:rsidRPr="00000000">
        <w:rPr>
          <w:b w:val="1"/>
          <w:sz w:val="34"/>
          <w:szCs w:val="34"/>
          <w:rtl w:val="0"/>
        </w:rPr>
        <w:t xml:space="preserve">Implementation and Execution Systems</w:t>
      </w:r>
    </w:p>
    <w:p w:rsidR="00000000" w:rsidDel="00000000" w:rsidP="00000000" w:rsidRDefault="00000000" w:rsidRPr="00000000" w14:paraId="00000029">
      <w:pPr>
        <w:spacing w:after="240" w:before="240" w:lineRule="auto"/>
        <w:rPr/>
      </w:pPr>
      <w:r w:rsidDel="00000000" w:rsidR="00000000" w:rsidRPr="00000000">
        <w:rPr>
          <w:rtl w:val="0"/>
        </w:rPr>
        <w:t xml:space="preserve">Modern rebalancing requires sophisticated execution systems that integrate AI decision-making with trading infrastructure.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Order Management Integration</w:t>
      </w:r>
      <w:r w:rsidDel="00000000" w:rsidR="00000000" w:rsidRPr="00000000">
        <w:rPr>
          <w:rtl w:val="0"/>
        </w:rPr>
        <w:t xml:space="preserve">: RESTful APIs connect portfolio optimization algorithms to order management systems, automatically generating trade lists when rebalancing criteria are met. The system creates detailed execution instructions including order types, timing preferences, and venue routing based on algorithmic recommendations.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Real-Time Portfolio Monitoring</w:t>
      </w:r>
      <w:r w:rsidDel="00000000" w:rsidR="00000000" w:rsidRPr="00000000">
        <w:rPr>
          <w:rtl w:val="0"/>
        </w:rPr>
        <w:t xml:space="preserve">: Streaming data processing using Apache Kafka tracks portfolio weights, cash flows, and market movements in real-time. The system calculates portfolio drift during market hours, triggering rebalancing alerts when thresholds are exceeded.</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Performance Attribution Analysis</w:t>
      </w:r>
      <w:r w:rsidDel="00000000" w:rsidR="00000000" w:rsidRPr="00000000">
        <w:rPr>
          <w:rtl w:val="0"/>
        </w:rPr>
        <w:t xml:space="preserve">: Multi-factor attribution models decompose portfolio performance into asset allocation, security selection, and timing effects. Machine learning algorithms identify which rebalancing decisions contributed most to portfolio alpha, feeding insights back into optimization algorithms for continuous improvement.</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Risk Budget Allocation</w:t>
      </w:r>
      <w:r w:rsidDel="00000000" w:rsidR="00000000" w:rsidRPr="00000000">
        <w:rPr>
          <w:rtl w:val="0"/>
        </w:rPr>
        <w:t xml:space="preserve">: Convex optimization algorithms allocate risk budgets across asset classes and individual positions during rebalancing cycles. The system ensures no single position exceeds a target percentage of portfolio risk contribution while maintaining diversification targets across sectors and geographic regions.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d5i58mjj49k8" w:id="8"/>
      <w:bookmarkEnd w:id="8"/>
      <w:r w:rsidDel="00000000" w:rsidR="00000000" w:rsidRPr="00000000">
        <w:rPr>
          <w:b w:val="1"/>
          <w:sz w:val="34"/>
          <w:szCs w:val="34"/>
          <w:rtl w:val="0"/>
        </w:rPr>
        <w:t xml:space="preserve">Model Validation and Backtesting</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Out-of-Sample Testing</w:t>
      </w:r>
      <w:r w:rsidDel="00000000" w:rsidR="00000000" w:rsidRPr="00000000">
        <w:rPr>
          <w:rtl w:val="0"/>
        </w:rPr>
        <w:t xml:space="preserve">: Rebalancing algorithms undergo rigorous backtesting using walk-forward analysis with 24-month training windows and 6-month testing periods. Models demonstrate consistent outperformance with Sharpe ratio improvements compared to calendar rebalancing approaches.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Transaction Cost Impact Analysis</w:t>
      </w:r>
      <w:r w:rsidDel="00000000" w:rsidR="00000000" w:rsidRPr="00000000">
        <w:rPr>
          <w:rtl w:val="0"/>
        </w:rPr>
        <w:t xml:space="preserve">: Detailed cost analysis measures the impact of AI-driven rebalancing frequency on net portfolio returns.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wepthoc5wdoz" w:id="9"/>
      <w:bookmarkEnd w:id="9"/>
      <w:r w:rsidDel="00000000" w:rsidR="00000000" w:rsidRPr="00000000">
        <w:rPr>
          <w:b w:val="1"/>
          <w:sz w:val="34"/>
          <w:szCs w:val="34"/>
          <w:rtl w:val="0"/>
        </w:rPr>
        <w:t xml:space="preserve">Bottom Line</w:t>
      </w:r>
    </w:p>
    <w:p w:rsidR="00000000" w:rsidDel="00000000" w:rsidP="00000000" w:rsidRDefault="00000000" w:rsidRPr="00000000" w14:paraId="00000032">
      <w:pPr>
        <w:spacing w:after="240" w:before="240" w:lineRule="auto"/>
        <w:rPr/>
      </w:pPr>
      <w:r w:rsidDel="00000000" w:rsidR="00000000" w:rsidRPr="00000000">
        <w:rPr>
          <w:rtl w:val="0"/>
        </w:rPr>
        <w:t xml:space="preserve">Moolah Capital </w:t>
      </w:r>
      <w:r w:rsidDel="00000000" w:rsidR="00000000" w:rsidRPr="00000000">
        <w:rPr>
          <w:rtl w:val="0"/>
        </w:rPr>
        <w:t xml:space="preserve">AI and LLM-powered rebalancing systems transform traditional portfolio management through specific technical implementations including machine learning optimization algorithms, real-time sentiment analysis, and quantitative risk management. </w:t>
      </w:r>
    </w:p>
    <w:p w:rsidR="00000000" w:rsidDel="00000000" w:rsidP="00000000" w:rsidRDefault="00000000" w:rsidRPr="00000000" w14:paraId="00000033">
      <w:pPr>
        <w:spacing w:after="240" w:before="240" w:lineRule="auto"/>
        <w:rPr/>
      </w:pPr>
      <w:r w:rsidDel="00000000" w:rsidR="00000000" w:rsidRPr="00000000">
        <w:rPr>
          <w:rtl w:val="0"/>
        </w:rPr>
        <w:t xml:space="preserve">These systems enable dynamic threshold adjustment, cross-asset sentiment processing, and automated constraint optimization that maintain target risk profiles while minimizing transaction costs.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