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AI-Powered Risk Management for Hedge and Mutual Funds</w:t>
      </w:r>
    </w:p>
    <w:p w:rsidR="00000000" w:rsidDel="00000000" w:rsidP="00000000" w:rsidRDefault="00000000" w:rsidRPr="00000000" w14:paraId="00000002">
      <w:pPr>
        <w:spacing w:after="240" w:before="240" w:lineRule="auto"/>
        <w:rPr/>
      </w:pPr>
      <w:r w:rsidDel="00000000" w:rsidR="00000000" w:rsidRPr="00000000">
        <w:rPr>
          <w:rtl w:val="0"/>
        </w:rPr>
        <w:t xml:space="preserve">Moolah Capital has implemented specific AI techniques to integrate with traditional risk management approaches typical of hedge and mutual funds. Here are the concrete applications and methodologies being deployed.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Market Risk: VaR, Correlations, and Volatility</w:t>
      </w:r>
    </w:p>
    <w:p w:rsidR="00000000" w:rsidDel="00000000" w:rsidP="00000000" w:rsidRDefault="00000000" w:rsidRPr="00000000" w14:paraId="00000004">
      <w:pPr>
        <w:spacing w:after="240" w:before="240" w:lineRule="auto"/>
        <w:rPr/>
      </w:pPr>
      <w:r w:rsidDel="00000000" w:rsidR="00000000" w:rsidRPr="00000000">
        <w:rPr>
          <w:rtl w:val="0"/>
        </w:rPr>
        <w:t xml:space="preserve">Our Market risk measurement focuses on three core metrics that AI directly improves through specific techniques.</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rtl w:val="0"/>
        </w:rPr>
        <w:t xml:space="preserve">VaR Calculation with LSTM Networks: Long Short-Term Memory networks replace Monte Carlo simulations for VaR calculations by processing sequences of historical returns, volatility, and market indicators. These networks learn temporal dependencies in loss distributions that parametric VaR models miss. Implementation involves training LSTM networks on rolling windows of portfolio returns with different lookback periods (252, 500, 1000 days) to capture varying market regimes.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numPr>
          <w:ilvl w:val="0"/>
          <w:numId w:val="4"/>
        </w:numPr>
        <w:spacing w:after="240" w:before="240" w:lineRule="auto"/>
        <w:ind w:left="720" w:hanging="360"/>
      </w:pPr>
      <w:r w:rsidDel="00000000" w:rsidR="00000000" w:rsidRPr="00000000">
        <w:rPr>
          <w:rtl w:val="0"/>
        </w:rPr>
        <w:t xml:space="preserve">Real-Time Correlation Detection: Dynamic Conditional Correlation (DCC) models enhanced with recurrent neural networks identify correlation breakdowns in real-time. The system processes streaming price data through correlation matrices updated every 15 minutes, flagging when pairwise correlations exceed historical 95th percentiles. This replaces static correlation assumptions with adaptive correlation forecasting.</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numPr>
          <w:ilvl w:val="0"/>
          <w:numId w:val="4"/>
        </w:numPr>
        <w:spacing w:after="240" w:before="240" w:lineRule="auto"/>
        <w:ind w:left="720" w:hanging="360"/>
      </w:pPr>
      <w:r w:rsidDel="00000000" w:rsidR="00000000" w:rsidRPr="00000000">
        <w:rPr>
          <w:rtl w:val="0"/>
        </w:rPr>
        <w:t xml:space="preserve">Volatility Prediction Using Ensemble Methods: - -  Random forests and gradient boosting machines combine multiple volatility indicators including realized volatility, implied volatility from options, and market microstructure variables like order flow imbalance. The ensemble approach outperforms single GARCH models by incorporating non-linear relationships between volatility drivers.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numPr>
          <w:ilvl w:val="0"/>
          <w:numId w:val="4"/>
        </w:numPr>
        <w:spacing w:after="240" w:before="240" w:lineRule="auto"/>
        <w:ind w:left="720" w:hanging="360"/>
      </w:pPr>
      <w:r w:rsidDel="00000000" w:rsidR="00000000" w:rsidRPr="00000000">
        <w:rPr>
          <w:rtl w:val="0"/>
        </w:rPr>
        <w:t xml:space="preserve">Regime Detection with Hidden Markov Models: HMM algorithms identify market regime shifts by analyzing combinations of volatility, correlation, and return patterns. The models classify markets into low, medium, and high volatility regimes, automatically adjusting VaR scaling factors and correlation assumptions based on current regime probability.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Trading Risk: Position Management and Risk Controls</w:t>
      </w:r>
    </w:p>
    <w:p w:rsidR="00000000" w:rsidDel="00000000" w:rsidP="00000000" w:rsidRDefault="00000000" w:rsidRPr="00000000" w14:paraId="0000000D">
      <w:pPr>
        <w:spacing w:after="240" w:before="240" w:lineRule="auto"/>
        <w:rPr/>
      </w:pPr>
      <w:r w:rsidDel="00000000" w:rsidR="00000000" w:rsidRPr="00000000">
        <w:rPr>
          <w:rtl w:val="0"/>
        </w:rPr>
        <w:t xml:space="preserve">Moolah Capital’s Trading risk management involves specific position-level controls and portfolio construction techniques enhanced by AI.</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rtl w:val="0"/>
        </w:rPr>
        <w:t xml:space="preserve">Volatility-Adjusted Stop-Loss: Instead of fixed percentage stops, AI systems calculate dynamic stop-loss levels using realized volatility and Average True Range (ATR). The stop distance equals current ATR multiplied by a factor determined by support vector machines trained on historical price reversals. This reduces false stops during high volatility periods.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rtl w:val="0"/>
        </w:rPr>
        <w:t xml:space="preserve">Kelly Criterion Position Sizing: Reinforcement learning agents optimize position sizes using modified Kelly criterion formulas that incorporate transaction costs, borrowing costs, and liquidity constraints. The agents learn optimal fraction sizing by maximizing long-term growth rate while constraining maximum drawdown through portfolio heat maps.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Leverage Monitoring with Early Warning Systems: Convolutional neural networks analyze portfolio composition matrices to detect concentration risk before leverage limits are breached. The system processes position weights, sector exposures, and correlation structures to predict when portfolio risk will exceed predefined limits, triggering automatic position reductions.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Counterparty Credit Scoring: Gradient boosting models process financial statement ratios, CDS spreads, equity prices, and news sentiment to generate real-time counterparty credit scores. The models update scores every hour and automatically adjust exposure limits when scores deteriorate beyond predetermined thresholds.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pPr>
      <w:r w:rsidDel="00000000" w:rsidR="00000000" w:rsidRPr="00000000">
        <w:rPr>
          <w:rtl w:val="0"/>
        </w:rPr>
        <w:t xml:space="preserve">Factor-Based Diversification: Principal Component Analysis and Independent Component Analysis identify underlying risk factors in portfolio returns. Machine learning algorithms then construct factor-neutral portfolios by minimizing exposure to the first three principal components while maintaining target returns.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rtl w:val="0"/>
        </w:rPr>
        <w:t xml:space="preserve">Portfolio Hedging with Correlated Instruments: Machine learning algorithms identify instruments with high negative correlation to existing positions for portfolio hedging. The system analyzes rolling correlation coefficients, beta relationships, and sector exposures to recommend hedge positions using ETFs, futures, or individual securities that provide effective risk offset.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AI Applications: Pattern Recognition and Hedging</w:t>
      </w:r>
    </w:p>
    <w:p w:rsidR="00000000" w:rsidDel="00000000" w:rsidP="00000000" w:rsidRDefault="00000000" w:rsidRPr="00000000" w14:paraId="0000001A">
      <w:pPr>
        <w:spacing w:after="240" w:before="240" w:lineRule="auto"/>
        <w:rPr/>
      </w:pPr>
      <w:r w:rsidDel="00000000" w:rsidR="00000000" w:rsidRPr="00000000">
        <w:rPr>
          <w:rtl w:val="0"/>
        </w:rPr>
        <w:t xml:space="preserve">Specific AI implementations that directly impact risk management operations.</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tl w:val="0"/>
        </w:rPr>
        <w:t xml:space="preserve">Technical Pattern Recognition: Convolutional neural networks trained on candlestick patterns, support/resistance levels, and chart formations identify high-probability reversal points. The networks process 50-day price windows converted to image format, achieving 65% accuracy in predicting 3-day price direction changes. This information feeds into stop-loss placement algorithms.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numPr>
          <w:ilvl w:val="0"/>
          <w:numId w:val="3"/>
        </w:numPr>
        <w:spacing w:after="240" w:before="240" w:lineRule="auto"/>
        <w:ind w:left="720" w:hanging="360"/>
      </w:pPr>
      <w:r w:rsidDel="00000000" w:rsidR="00000000" w:rsidRPr="00000000">
        <w:rPr>
          <w:rtl w:val="0"/>
        </w:rPr>
        <w:t xml:space="preserve">Asset Selection for Risk Reduction: Decision trees analyze correlation matrices, volatility patterns, and sector exposures to recommend positions that reduce overall portfolio risk. The system evaluates cost-effectiveness by comparing implementation costs to predicted portfolio risk reduction through diversification and negative correlation exposures.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numPr>
          <w:ilvl w:val="0"/>
          <w:numId w:val="3"/>
        </w:numPr>
        <w:spacing w:after="240" w:before="240" w:lineRule="auto"/>
        <w:ind w:left="720" w:hanging="360"/>
      </w:pPr>
      <w:r w:rsidDel="00000000" w:rsidR="00000000" w:rsidRPr="00000000">
        <w:rPr>
          <w:rtl w:val="0"/>
        </w:rPr>
        <w:t xml:space="preserve">Adaptive Stop Management: Q-learning algorithms optimize stop-loss rules by treating each position as a separate environment. The agents learn when to tighten, loosen, or remove stops based on market conditions, position profitability, and portfolio risk metrics. Training occurs on 10 years of historical data with reward functions based on risk-adjusted returns.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Operational and Liquidity Risk</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Liquidity Cost Prediction: Random forest models estimate transaction costs using order book depth, bid-ask spreads, and historical volume patterns. The models predict market impact for position sizes ranging from 1% to 10% of average daily volume, updating estimates every 30 seconds during trading hours.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Trade Anomaly Detection: Isolation forests identify unusual trading patterns that might indicate operational errors or system malfunctions. The algorithm flags trades with unusual size, timing, or price relative to recent portfolio activity, requiring manual review before execution.</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System Performance Monitoring: Time series anomaly detection using ARIMA models with machine learning residual analysis monitors system latency, data feed interruptions, and execution delays. The system automatically switches to backup trading venues when performance degrades beyond acceptable thresholds.</w:t>
      </w:r>
    </w:p>
    <w:p w:rsidR="00000000" w:rsidDel="00000000" w:rsidP="00000000" w:rsidRDefault="00000000" w:rsidRPr="00000000" w14:paraId="00000024">
      <w:pPr>
        <w:spacing w:after="240" w:before="240" w:lineRule="auto"/>
        <w:rPr/>
      </w:pPr>
      <w:r w:rsidDel="00000000" w:rsidR="00000000" w:rsidRPr="00000000">
        <w:rPr>
          <w:rtl w:val="0"/>
        </w:rPr>
        <w:t xml:space="preserve">Implementation Requirements</w:t>
      </w:r>
    </w:p>
    <w:p w:rsidR="00000000" w:rsidDel="00000000" w:rsidP="00000000" w:rsidRDefault="00000000" w:rsidRPr="00000000" w14:paraId="00000025">
      <w:pPr>
        <w:numPr>
          <w:ilvl w:val="0"/>
          <w:numId w:val="5"/>
        </w:numPr>
        <w:spacing w:after="240" w:before="240" w:lineRule="auto"/>
        <w:ind w:left="720" w:hanging="360"/>
      </w:pPr>
      <w:r w:rsidDel="00000000" w:rsidR="00000000" w:rsidRPr="00000000">
        <w:rPr>
          <w:rtl w:val="0"/>
        </w:rPr>
        <w:t xml:space="preserve">Data Infrastructure: Real-time data processing requires Apache Kafka streams handling 100,000+ market data updates per second, with Redis caches storing frequently accessed portfolio positions and risk metrics.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rtl w:val="0"/>
        </w:rPr>
        <w:t xml:space="preserve">Model Training Pipeline: Automated retraining schedules update models weekly using incremental learning techniques that incorporate new market data while maintaining model stability through ensemble voting mechanisms.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rtl w:val="0"/>
        </w:rPr>
        <w:t xml:space="preserve">Execution Integration: REST APIs connect AI risk models to order management systems, automatically implementing position adjustments and hedge trades when risk thresholds are exceeded.</w:t>
      </w:r>
    </w:p>
    <w:p w:rsidR="00000000" w:rsidDel="00000000" w:rsidP="00000000" w:rsidRDefault="00000000" w:rsidRPr="00000000" w14:paraId="0000002A">
      <w:pPr>
        <w:spacing w:after="240" w:before="240" w:lineRule="auto"/>
        <w:rPr/>
      </w:pPr>
      <w:r w:rsidDel="00000000" w:rsidR="00000000" w:rsidRPr="00000000">
        <w:rPr>
          <w:rtl w:val="0"/>
        </w:rPr>
        <w:t xml:space="preserve">These specific AI implementations provide measurable improvements over Moolah Capital traditional risk management approaches by incorporating real-time data processing, adaptive algorithms, and quantitative precision in risk measurement and control.</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