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008E" w14:textId="77777777" w:rsidR="00127208" w:rsidRPr="00127208" w:rsidRDefault="00127208" w:rsidP="0012720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Deploying £100,000 into Crypto: A Guide to Wealth Preservation and Advanced Strategy</w:t>
      </w:r>
    </w:p>
    <w:p w14:paraId="7B7AF9DC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 £100,000 crypto investment isn’t just dabbling — it’s wealth allocation. With this amount, the goal is no longer chasing hype coins or quick flips; it’s about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preserving capital, compounding returns, and building a long-term </w:t>
      </w:r>
      <w:proofErr w:type="spellStart"/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framework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that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can withstand bull and bear cycles.</w:t>
      </w:r>
    </w:p>
    <w:p w14:paraId="37D0688E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At this scale, discipline, risk management, and professional-grade tools matter as much as picking the right coins. The key is to combine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stability (wealth preservation)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 with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opportunity (growth strategies)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, using both professional funds and selective, high-conviction plays.</w:t>
      </w:r>
    </w:p>
    <w:p w14:paraId="5147DE56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1: Define the Mission – Preservation First</w:t>
      </w:r>
    </w:p>
    <w:p w14:paraId="4D295F69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Ask yourself:</w:t>
      </w:r>
    </w:p>
    <w:p w14:paraId="473E14A3" w14:textId="77777777" w:rsidR="00127208" w:rsidRPr="00127208" w:rsidRDefault="00127208" w:rsidP="001272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Is </w:t>
      </w:r>
      <w:proofErr w:type="gram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this £100,000 part</w:t>
      </w:r>
      <w:proofErr w:type="gram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of my net worth I cannot afford to lose?</w:t>
      </w:r>
    </w:p>
    <w:p w14:paraId="33AA94B8" w14:textId="77777777" w:rsidR="00127208" w:rsidRPr="00127208" w:rsidRDefault="00127208" w:rsidP="001272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Am I targeting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steady compounding over 5–10 years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, or short-term speculation?</w:t>
      </w:r>
    </w:p>
    <w:p w14:paraId="32183913" w14:textId="77777777" w:rsidR="00127208" w:rsidRPr="00127208" w:rsidRDefault="00127208" w:rsidP="0012720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Do I want income (yield), appreciation (growth), or both?</w:t>
      </w:r>
    </w:p>
    <w:p w14:paraId="66526CC2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For most investors at this level,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preservation comes first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. The portfolio should survive multiple downturns without wiping out, while leaving room for innovation and high-reward opportunities.</w:t>
      </w:r>
    </w:p>
    <w:p w14:paraId="03234D09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2: Use the Core–Satellite Model at Scale</w:t>
      </w:r>
    </w:p>
    <w:p w14:paraId="7C4EFDB9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Just like with smaller portfolios, the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Core–Satellite framework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 works — but scaled.</w:t>
      </w:r>
    </w:p>
    <w:p w14:paraId="7D68AFE5" w14:textId="77777777" w:rsidR="00127208" w:rsidRPr="00127208" w:rsidRDefault="00127208" w:rsidP="001272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 (60–70%) = £60,000–£70,000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>Professional funds and structured strategies provide diversification, risk control, and consistency. These are the backbone of your wealth.</w:t>
      </w:r>
    </w:p>
    <w:p w14:paraId="3430E78B" w14:textId="77777777" w:rsidR="00127208" w:rsidRPr="00127208" w:rsidRDefault="00127208" w:rsidP="0012720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Satellite (30–40%) = £30,000–£40,000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Opportunistic plays: direct altcoins,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, venture-style bets, algorithmic AI strategies. High-risk, but capped at a portion of the portfolio.</w:t>
      </w:r>
    </w:p>
    <w:p w14:paraId="532F8301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3: The Core – Professional Funds for Stability</w:t>
      </w:r>
    </w:p>
    <w:p w14:paraId="60C1B074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With six figures in play, professional management is non-negotiable. Here’s a suggested allocation within the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 (£60,000–£70,000)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019B2BFC" w14:textId="77777777" w:rsidR="00127208" w:rsidRPr="00127208" w:rsidRDefault="00127208" w:rsidP="001272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Passive Index Funds (20–25% | £20,000–£25,000)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Track the market. Exposure to Bitcoin, Ethereum, and top altcoins, weighted by size 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and liquidity. The aim is wealth preservation through broad diversification. Example: Moolah Capital’s Market Index Fund.</w:t>
      </w:r>
    </w:p>
    <w:p w14:paraId="38F30DDB" w14:textId="77777777" w:rsidR="00127208" w:rsidRPr="00127208" w:rsidRDefault="00127208" w:rsidP="001272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Smart Beta Funds (15–20% | £15,000–£20,000)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Factor-driven strategies: momentum, low volatility, or liquidity filters. These aim to beat traditional indices with structured, rules-based enhancements. Example: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AlphaGlobal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Momentum Fund.</w:t>
      </w:r>
    </w:p>
    <w:p w14:paraId="5F6763F3" w14:textId="77777777" w:rsidR="00127208" w:rsidRPr="00127208" w:rsidRDefault="00127208" w:rsidP="001272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Yield Funds (10–15% | £10,000–£15,000)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Generate consistent returns via staking, lending, and liquidity pools. Particularly useful in bear markets, where price appreciation is limited but income remains steady. Example: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AlphaGlobal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Yield Fund.</w:t>
      </w:r>
    </w:p>
    <w:p w14:paraId="1C723AF8" w14:textId="77777777" w:rsidR="00127208" w:rsidRPr="00127208" w:rsidRDefault="00127208" w:rsidP="001272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Special Situations Funds (5–10% | £5,000–£10,000)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>Opportunistic event-driven strategies (token unlocks, forks, distressed assets). Provides non-correlated returns that protect against broad downturns.</w:t>
      </w:r>
    </w:p>
    <w:p w14:paraId="654CFFD4" w14:textId="77777777" w:rsidR="00127208" w:rsidRPr="00127208" w:rsidRDefault="00127208" w:rsidP="0012720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GenAI</w:t>
      </w:r>
      <w:proofErr w:type="spellEnd"/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-Driven Funds (5–10% | £5,000–£10,000)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Funds designed using large language models (GPT, Claude,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DeepSeek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). Investors can build custom rules or mirror AI-selected strategies, adding flexibility and innovation.</w:t>
      </w:r>
    </w:p>
    <w:p w14:paraId="55FF49A5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This mix ensures stability, yield, and upside without concentrating risk in one bucket.</w:t>
      </w:r>
    </w:p>
    <w:p w14:paraId="3DB932C8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4: The Satellite – Advanced Strategies for Growth</w:t>
      </w:r>
    </w:p>
    <w:p w14:paraId="04DDF575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The remaining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£30,000–£40,000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 can go into higher-risk, higher-reward positions. At this scale, satellites can be divided into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themes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521E31F7" w14:textId="77777777" w:rsidR="00127208" w:rsidRPr="00127208" w:rsidRDefault="00127208" w:rsidP="001272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Layer-1 and Layer-2 Ecosystems (10–15%)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Ethereum, Solana, Avalanche,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Arbitrum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— core infrastructure plays.</w:t>
      </w:r>
    </w:p>
    <w:p w14:paraId="6B6FADDD" w14:textId="77777777" w:rsidR="00127208" w:rsidRPr="00127208" w:rsidRDefault="00127208" w:rsidP="001272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DeFi</w:t>
      </w:r>
      <w:proofErr w:type="spellEnd"/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Protocols (5–10%)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Aave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, Curve,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Uniswap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, Lido. Allocate capital selectively across leading protocols with strong on-chain activity.</w:t>
      </w:r>
    </w:p>
    <w:p w14:paraId="366DEF06" w14:textId="77777777" w:rsidR="00127208" w:rsidRPr="00127208" w:rsidRDefault="00127208" w:rsidP="001272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AI and Emerging Narratives (5–10%)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Exposure to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GenAI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-related tokens, decentralized compute, or AI-in-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innovations.</w:t>
      </w:r>
    </w:p>
    <w:p w14:paraId="327776D9" w14:textId="77777777" w:rsidR="00127208" w:rsidRPr="00127208" w:rsidRDefault="00127208" w:rsidP="001272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Private and Early-Stage Deals (5–10%)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>With £100,000, you can access venture-style allocations (via launchpads, token sales, or staking pools). High risk, but asymmetric potential.</w:t>
      </w:r>
    </w:p>
    <w:p w14:paraId="2C17291E" w14:textId="77777777" w:rsidR="00127208" w:rsidRPr="00127208" w:rsidRDefault="00127208" w:rsidP="001272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Algorithmic and Quantitative Strategies (5%)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>Deploy small allocations into algorithmic trading bots, LLM-assisted strategies, or statistical arbitrage.</w:t>
      </w:r>
    </w:p>
    <w:p w14:paraId="0F9125EA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5: Advanced Risk Management</w:t>
      </w:r>
    </w:p>
    <w:p w14:paraId="4E683675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With larger capital, risk management becomes the cornerstone. Tools to consider:</w:t>
      </w:r>
    </w:p>
    <w:p w14:paraId="0EFE060A" w14:textId="77777777" w:rsidR="00127208" w:rsidRPr="00127208" w:rsidRDefault="00127208" w:rsidP="001272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Stablecoin</w:t>
      </w:r>
      <w:proofErr w:type="spellEnd"/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Allocation (10–15%)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>Hold part of the portfolio in USDC or USDT. This provides liquidity for opportunities and acts as dry powder during downturns.</w:t>
      </w:r>
    </w:p>
    <w:p w14:paraId="423A77D0" w14:textId="77777777" w:rsidR="00127208" w:rsidRPr="00127208" w:rsidRDefault="00127208" w:rsidP="001272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Derivatives for Hedging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Futures and options can offset downside exposure. Example: hedge Ethereum exposure via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Deribit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during high volatility.</w:t>
      </w:r>
    </w:p>
    <w:p w14:paraId="581339A8" w14:textId="77777777" w:rsidR="00127208" w:rsidRPr="00127208" w:rsidRDefault="00127208" w:rsidP="001272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Scenario Analysis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>Test portfolios against historical shocks: 2017 boom, 2020 COVID crash, or China’s clampdowns. AI-driven simulations can stress test resilience.</w:t>
      </w:r>
    </w:p>
    <w:p w14:paraId="7497CCBA" w14:textId="77777777" w:rsidR="00127208" w:rsidRPr="00127208" w:rsidRDefault="00127208" w:rsidP="001272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Rebalancing Discipline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br/>
        <w:t>Quarterly reviews to reset allocations. Sell partial winners, rotate back into core.</w:t>
      </w:r>
    </w:p>
    <w:p w14:paraId="7E95EE95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6: Tax and Custody</w:t>
      </w:r>
    </w:p>
    <w:p w14:paraId="58EEC370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£100,000 in crypto also means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logistical planning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5ACC7C86" w14:textId="77777777" w:rsidR="00127208" w:rsidRPr="00127208" w:rsidRDefault="00127208" w:rsidP="0012720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Custody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: Use a mix of cold wallets (Ledger,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Trezor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) and institutional-grade custody if available. Never keep large sums on exchanges.</w:t>
      </w:r>
    </w:p>
    <w:p w14:paraId="71D1FC8A" w14:textId="77777777" w:rsidR="00127208" w:rsidRPr="00127208" w:rsidRDefault="00127208" w:rsidP="0012720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Taxation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: Be proactive. Track every trade, yield, and rebalance. Use crypto tax software (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Koinly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TokenTax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). Crypto funds often simplify reporting since trades happen within the fund structure.</w:t>
      </w:r>
    </w:p>
    <w:p w14:paraId="1FD22E80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7: Why Professional Funds Anchor Wealth</w:t>
      </w:r>
    </w:p>
    <w:p w14:paraId="5D4E9B6C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At this level, retail-style investing is too risky. Allocating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60–70% (£60,000–£70,000)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 to professional funds ensures:</w:t>
      </w:r>
    </w:p>
    <w:p w14:paraId="2BAD5D8B" w14:textId="77777777" w:rsidR="00127208" w:rsidRPr="00127208" w:rsidRDefault="00127208" w:rsidP="0012720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Diversification across dozens of assets and strategies.</w:t>
      </w:r>
    </w:p>
    <w:p w14:paraId="34EA7922" w14:textId="77777777" w:rsidR="00127208" w:rsidRPr="00127208" w:rsidRDefault="00127208" w:rsidP="0012720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AI-driven insights that spot signals humans miss.</w:t>
      </w:r>
    </w:p>
    <w:p w14:paraId="2235ECD0" w14:textId="77777777" w:rsidR="00127208" w:rsidRPr="00127208" w:rsidRDefault="00127208" w:rsidP="0012720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Access to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yield, arbitrage, and special situations not practical for individuals.</w:t>
      </w:r>
    </w:p>
    <w:p w14:paraId="09CAAAC7" w14:textId="77777777" w:rsidR="00127208" w:rsidRPr="00127208" w:rsidRDefault="00127208" w:rsidP="0012720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Governance, risk oversight, and disciplined execution.</w:t>
      </w:r>
    </w:p>
    <w:p w14:paraId="3F064526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The satellite strategies then provide upside without jeopardizing the bulk of your capital.</w:t>
      </w:r>
    </w:p>
    <w:p w14:paraId="6E9786C3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 Model Portfolio Example</w:t>
      </w:r>
    </w:p>
    <w:p w14:paraId="4619DD60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Here’s one possible allocation:</w:t>
      </w:r>
    </w:p>
    <w:p w14:paraId="694E9380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£22,000 — Passive Index Fund</w:t>
      </w:r>
    </w:p>
    <w:p w14:paraId="067D775C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£18,000 — Smart Beta Fund</w:t>
      </w:r>
    </w:p>
    <w:p w14:paraId="1658C071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£12,000 — Yield Fund</w:t>
      </w:r>
    </w:p>
    <w:p w14:paraId="65DB757B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£8,000 — Special Situations Fund</w:t>
      </w:r>
    </w:p>
    <w:p w14:paraId="2F36E5FF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£8,000 —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GenAI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Fund</w:t>
      </w:r>
    </w:p>
    <w:p w14:paraId="68223A35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£15,000 — Layer-1 / Layer-2 assets</w:t>
      </w:r>
    </w:p>
    <w:p w14:paraId="041FE38A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£10,000 — </w:t>
      </w:r>
      <w:proofErr w:type="spellStart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DeFi</w:t>
      </w:r>
      <w:proofErr w:type="spellEnd"/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 xml:space="preserve"> protocols</w:t>
      </w:r>
    </w:p>
    <w:p w14:paraId="5668E844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£7,000 — AI / new narratives</w:t>
      </w:r>
    </w:p>
    <w:p w14:paraId="11A36F51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£5,000 — Private / early-stage deals</w:t>
      </w:r>
    </w:p>
    <w:p w14:paraId="45F23E82" w14:textId="77777777" w:rsidR="00127208" w:rsidRPr="00127208" w:rsidRDefault="00127208" w:rsidP="001272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£5,000 — Algorithmic strategies</w:t>
      </w:r>
    </w:p>
    <w:p w14:paraId="7954D106" w14:textId="77777777" w:rsidR="00127208" w:rsidRPr="00127208" w:rsidRDefault="00127208" w:rsidP="001272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127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Final Thoughts</w:t>
      </w:r>
    </w:p>
    <w:p w14:paraId="45E3BE2D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Investing £100,000 in crypto demands a mindset shift. You’re not speculating anymore; you’re allocating wealth. The structure should protect capital, compound returns, and capture upside while maintaining liquidity and resilience.</w:t>
      </w:r>
    </w:p>
    <w:p w14:paraId="4D03ACDF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The best way to achieve this is with a </w:t>
      </w:r>
      <w:r w:rsidRPr="00127208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 allocation of 60–70% in professional crypto funds</w:t>
      </w: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, supported by satellites that target growth, innovation, and emerging opportunities. This balance ensures that no single mistake or market downturn wipes out your capital — while still leaving room for strong long-term returns.</w:t>
      </w:r>
    </w:p>
    <w:p w14:paraId="210BCFC4" w14:textId="77777777" w:rsidR="00127208" w:rsidRPr="00127208" w:rsidRDefault="00127208" w:rsidP="001272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27208">
        <w:rPr>
          <w:rFonts w:ascii="Times New Roman" w:eastAsia="Times New Roman" w:hAnsi="Times New Roman" w:cs="Times New Roman"/>
          <w:color w:val="000000"/>
          <w:lang w:eastAsia="en-GB"/>
        </w:rPr>
        <w:t>Over time, disciplined rebalancing, careful custody, and ongoing risk management will make the difference between simply holding coins and building lasting wealth.</w:t>
      </w:r>
    </w:p>
    <w:p w14:paraId="5CC41C98" w14:textId="77777777" w:rsidR="00FB1BF4" w:rsidRDefault="00127208"/>
    <w:sectPr w:rsidR="00FB1BF4" w:rsidSect="001303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D35FE"/>
    <w:multiLevelType w:val="multilevel"/>
    <w:tmpl w:val="2E88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575F"/>
    <w:multiLevelType w:val="multilevel"/>
    <w:tmpl w:val="474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C648D"/>
    <w:multiLevelType w:val="multilevel"/>
    <w:tmpl w:val="8C50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F55E3"/>
    <w:multiLevelType w:val="multilevel"/>
    <w:tmpl w:val="54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D28F8"/>
    <w:multiLevelType w:val="multilevel"/>
    <w:tmpl w:val="C5A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13A31"/>
    <w:multiLevelType w:val="multilevel"/>
    <w:tmpl w:val="71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F545F"/>
    <w:multiLevelType w:val="multilevel"/>
    <w:tmpl w:val="34C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23180"/>
    <w:multiLevelType w:val="multilevel"/>
    <w:tmpl w:val="7AB8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08"/>
    <w:rsid w:val="00127208"/>
    <w:rsid w:val="0013031A"/>
    <w:rsid w:val="00573E87"/>
    <w:rsid w:val="00654E0E"/>
    <w:rsid w:val="00A11FA4"/>
    <w:rsid w:val="00B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6D27"/>
  <w15:chartTrackingRefBased/>
  <w15:docId w15:val="{27133D3C-8B28-4647-BE0E-78A3E68D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2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272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272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272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27208"/>
  </w:style>
  <w:style w:type="character" w:styleId="Strong">
    <w:name w:val="Strong"/>
    <w:basedOn w:val="DefaultParagraphFont"/>
    <w:uiPriority w:val="22"/>
    <w:qFormat/>
    <w:rsid w:val="00127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idone</dc:creator>
  <cp:keywords/>
  <dc:description/>
  <cp:lastModifiedBy>lucio idone</cp:lastModifiedBy>
  <cp:revision>1</cp:revision>
  <dcterms:created xsi:type="dcterms:W3CDTF">2025-08-16T12:04:00Z</dcterms:created>
  <dcterms:modified xsi:type="dcterms:W3CDTF">2025-08-16T12:04:00Z</dcterms:modified>
</cp:coreProperties>
</file>