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936F1" w14:textId="77777777" w:rsidR="00287A4B" w:rsidRPr="00287A4B" w:rsidRDefault="00287A4B" w:rsidP="00287A4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Investing £10,000 in Crypto: A Framework for Serious Returns and Risk Management</w:t>
      </w:r>
    </w:p>
    <w:p w14:paraId="550D7A6A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For many investors, £10,000 represents a serious financial commitment — large enough to build a meaningful crypto portfolio, but still small enough to recover from if things go wrong. With this amount, you’re no longer dabbling like a beginner; you’re building a structured strategy where risk management, diversification, and professional allocation matter.</w:t>
      </w:r>
    </w:p>
    <w:p w14:paraId="011E1D90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The good news is that the crypto market offers a wide range of tools and fund options to help you balance growth potential with risk control. The key is to avoid going “all in” on a single coin or sector and instead design a portfolio that spreads exposure across different strategies, time horizons, and risk profiles.</w:t>
      </w:r>
    </w:p>
    <w:p w14:paraId="7B60C3BF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Here’s a simple framework to help you put £10,000 to work.</w:t>
      </w:r>
    </w:p>
    <w:p w14:paraId="4A427D8F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1: Set Your Objectives</w:t>
      </w:r>
    </w:p>
    <w:p w14:paraId="73D7B009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Before allocating a single pound, ask yourself:</w:t>
      </w:r>
    </w:p>
    <w:p w14:paraId="34894859" w14:textId="77777777" w:rsidR="00287A4B" w:rsidRPr="00287A4B" w:rsidRDefault="00287A4B" w:rsidP="00287A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Am I aiming for long-term wealth building, or short-term speculation?</w:t>
      </w:r>
    </w:p>
    <w:p w14:paraId="11A95A92" w14:textId="77777777" w:rsidR="00287A4B" w:rsidRPr="00287A4B" w:rsidRDefault="00287A4B" w:rsidP="00287A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Do I value steady growth, or am I prepared for high volatility?</w:t>
      </w:r>
    </w:p>
    <w:p w14:paraId="29045D85" w14:textId="77777777" w:rsidR="00287A4B" w:rsidRPr="00287A4B" w:rsidRDefault="00287A4B" w:rsidP="00287A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How much of this £10,000 could I afford to lose?</w:t>
      </w:r>
    </w:p>
    <w:p w14:paraId="27847FEC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Your answers shape everything else. A cautious investor may tilt heavily toward diversified funds and large-cap assets, while a more aggressive investor might lean into altcoins or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opportunities.</w:t>
      </w:r>
    </w:p>
    <w:p w14:paraId="212C5AF3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2: The Core–Satellite Framework</w:t>
      </w:r>
    </w:p>
    <w:p w14:paraId="3DA9EA6E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 proven way to structure a £10,000 crypto portfolio is the </w:t>
      </w: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Core–Satellite approach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3A9342BF" w14:textId="77777777" w:rsidR="00287A4B" w:rsidRPr="00287A4B" w:rsidRDefault="00287A4B" w:rsidP="00287A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 (50–70%)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: The foundation of your portfolio, designed for stability and risk management. This should include professional crypto funds managed by experts — such as passive index funds, smart beta strategies (like momentum or income), or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yield funds. These funds offer diversification, transparency, and professional oversight, reducing the risk of catastrophic loss.</w:t>
      </w:r>
    </w:p>
    <w:p w14:paraId="3E74697C" w14:textId="77777777" w:rsidR="00287A4B" w:rsidRPr="00287A4B" w:rsidRDefault="00287A4B" w:rsidP="00287A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Satellite (30–50%)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: The high-growth, higher-risk part of your portfolio. This can include direct investments in altcoins,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protocols, NFTs, or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GenAI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-built custom strategies. Satellites aim for outsized returns but are balanced by the stability of the core.</w:t>
      </w:r>
    </w:p>
    <w:p w14:paraId="12FF9A8F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By blending both, you get the best of two worlds: security and upside.</w:t>
      </w:r>
    </w:p>
    <w:p w14:paraId="72D911A0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3: Build the Core – Professional Funds</w:t>
      </w:r>
    </w:p>
    <w:p w14:paraId="0C861160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Since this is a serious investment, your </w:t>
      </w: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 should take the lion’s share — around £5,000–£7,000 (50–70%)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. Here’s how it could look:</w:t>
      </w:r>
    </w:p>
    <w:p w14:paraId="0E55593C" w14:textId="77777777" w:rsidR="00287A4B" w:rsidRPr="00287A4B" w:rsidRDefault="00287A4B" w:rsidP="00287A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Passive Index Funds (20–25%)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br/>
        <w:t>Track the performance of a broad market index of cryptocurrencies. These funds spread risk across multiple coins, reducing the impact of any single failure. Moolah Capital’s Market Index Fund is one example within this category.</w:t>
      </w:r>
    </w:p>
    <w:p w14:paraId="7B4CFF9A" w14:textId="77777777" w:rsidR="00287A4B" w:rsidRPr="00287A4B" w:rsidRDefault="00287A4B" w:rsidP="00287A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Smart Beta Funds (15–20%)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Instead of tracking size, these funds focus on rules like momentum (buying strong performers) or low volatility (holding stable assets). Moolah Capital’s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AlphaGlobal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Momentum Fund fits here. Smart beta balances discipline with outperformance potential.</w:t>
      </w:r>
    </w:p>
    <w:p w14:paraId="53F6A89C" w14:textId="77777777" w:rsidR="00287A4B" w:rsidRPr="00287A4B" w:rsidRDefault="00287A4B" w:rsidP="00287A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Yield or Income Funds (10–15%)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Designed to generate regular income from staking, lending, or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liquidity. Moolah Capital’s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AlphaGlobal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Yield Fund is an example, giving exposure to consistent returns without relying solely on price appreciation.</w:t>
      </w:r>
    </w:p>
    <w:p w14:paraId="38AF57A4" w14:textId="77777777" w:rsidR="00287A4B" w:rsidRPr="00287A4B" w:rsidRDefault="00287A4B" w:rsidP="00287A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Special Situations Funds (5–10%)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br/>
        <w:t>Opportunistic strategies that take advantage of events like token unlocks, protocol forks, or distressed projects. Higher risk, but non-correlated with the market — useful for diversification.</w:t>
      </w:r>
    </w:p>
    <w:p w14:paraId="39C208CB" w14:textId="77777777" w:rsidR="00287A4B" w:rsidRPr="00287A4B" w:rsidRDefault="00287A4B" w:rsidP="00287A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GenAI</w:t>
      </w:r>
      <w:proofErr w:type="spellEnd"/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Funds (optional 5–10%)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br/>
        <w:t>Portfolios designed with the help of large language models like GPT. Investors can either create their own rules (momentum, risk caps, themes) or mirror strategies of top-performing AI users. These funds are flexible and experimental, but increasingly powerful as AI advances.</w:t>
      </w:r>
    </w:p>
    <w:p w14:paraId="63D821E5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This mix ensures your core captures market growth, adds extra performance drivers, and generates income — while still being diversified and professionally managed.</w:t>
      </w:r>
    </w:p>
    <w:p w14:paraId="75993956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4: Add the Satellites – DIY and High-Risk Plays</w:t>
      </w:r>
    </w:p>
    <w:p w14:paraId="12398EB5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With the remaining </w:t>
      </w: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£3,000–£5,000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, you can take more adventurous positions. These are higher risk, but they offer upside that a conservative core won’t capture.</w:t>
      </w:r>
    </w:p>
    <w:p w14:paraId="45246FF9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Examples include:</w:t>
      </w:r>
    </w:p>
    <w:p w14:paraId="21E88278" w14:textId="77777777" w:rsidR="00287A4B" w:rsidRPr="00287A4B" w:rsidRDefault="00287A4B" w:rsidP="00287A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Layer-1 and Layer-2 altcoins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 (Ethereum, Solana,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Arbitrum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, Avalanche)</w:t>
      </w:r>
    </w:p>
    <w:p w14:paraId="6FE1F55B" w14:textId="77777777" w:rsidR="00287A4B" w:rsidRPr="00287A4B" w:rsidRDefault="00287A4B" w:rsidP="00287A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DeFi</w:t>
      </w:r>
      <w:proofErr w:type="spellEnd"/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protocols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 (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Aave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, Curve, Lido,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Uniswap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)</w:t>
      </w:r>
    </w:p>
    <w:p w14:paraId="4A8E9400" w14:textId="77777777" w:rsidR="00287A4B" w:rsidRPr="00287A4B" w:rsidRDefault="00287A4B" w:rsidP="00287A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AI-driven strategies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 (self-built funds via GPT prompts, algorithmic trading bots)</w:t>
      </w:r>
    </w:p>
    <w:p w14:paraId="5AD0AC39" w14:textId="77777777" w:rsidR="00287A4B" w:rsidRPr="00287A4B" w:rsidRDefault="00287A4B" w:rsidP="00287A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NFT exposure or metaverse tokens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 (if aligned with your risk tolerance)</w:t>
      </w:r>
    </w:p>
    <w:p w14:paraId="126BF9F3" w14:textId="77777777" w:rsidR="00287A4B" w:rsidRPr="00287A4B" w:rsidRDefault="00287A4B" w:rsidP="00287A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Token launches or early-stage projects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 (via launchpads or governance participation)</w:t>
      </w:r>
    </w:p>
    <w:p w14:paraId="5360A0B0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These are riskier bets, but they allow you to express personal views, follow trends, or test new technologies — without endangering </w:t>
      </w:r>
      <w:proofErr w:type="gram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the majority of</w:t>
      </w:r>
      <w:proofErr w:type="gram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your portfolio.</w:t>
      </w:r>
    </w:p>
    <w:p w14:paraId="3D016FBB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5: Risk Management and Rebalancing</w:t>
      </w:r>
    </w:p>
    <w:p w14:paraId="7B283312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Crypto markets move fast. What starts as a 70/30 core-to-satellite split can shift within months if certain assets rally or crash. To stay disciplined:</w:t>
      </w:r>
    </w:p>
    <w:p w14:paraId="503C2715" w14:textId="77777777" w:rsidR="00287A4B" w:rsidRPr="00287A4B" w:rsidRDefault="00287A4B" w:rsidP="00287A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Rebalance quarterly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: Reset allocations back to your target percentages. Sell partial winners, top up laggards.</w:t>
      </w:r>
    </w:p>
    <w:p w14:paraId="2EB4400C" w14:textId="77777777" w:rsidR="00287A4B" w:rsidRPr="00287A4B" w:rsidRDefault="00287A4B" w:rsidP="00287A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 stop-losses for satellites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: Protect yourself against catastrophic downside on speculative plays.</w:t>
      </w:r>
    </w:p>
    <w:p w14:paraId="5409EA05" w14:textId="77777777" w:rsidR="00287A4B" w:rsidRPr="00287A4B" w:rsidRDefault="00287A4B" w:rsidP="00287A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Hedge with derivatives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: Futures or options can offset risk during volatile markets, especially for larger portfolios.</w:t>
      </w:r>
    </w:p>
    <w:p w14:paraId="1B639D9B" w14:textId="77777777" w:rsidR="00287A4B" w:rsidRPr="00287A4B" w:rsidRDefault="00287A4B" w:rsidP="00287A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Maintain </w:t>
      </w:r>
      <w:proofErr w:type="spellStart"/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stablecoin</w:t>
      </w:r>
      <w:proofErr w:type="spellEnd"/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liquidity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: Keep a portion in USDC, USDT, or </w:t>
      </w:r>
      <w:proofErr w:type="gram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similar to</w:t>
      </w:r>
      <w:proofErr w:type="gram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take advantage of sudden opportunities.</w:t>
      </w:r>
    </w:p>
    <w:p w14:paraId="57A20A57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6: Prepare for Market Cycles</w:t>
      </w:r>
    </w:p>
    <w:p w14:paraId="7E738CEF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Crypto is famously cyclical, often following a 4-year rhythm around Bitcoin halving events. With £10,000 at play, timing matters less than consistency — but awareness helps.</w:t>
      </w:r>
    </w:p>
    <w:p w14:paraId="31F2AB28" w14:textId="77777777" w:rsidR="00287A4B" w:rsidRPr="00287A4B" w:rsidRDefault="00287A4B" w:rsidP="00287A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In </w:t>
      </w: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bull markets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, satellites may outperform dramatically. Consider taking profits back into your core.</w:t>
      </w:r>
    </w:p>
    <w:p w14:paraId="459CDA99" w14:textId="77777777" w:rsidR="00287A4B" w:rsidRPr="00287A4B" w:rsidRDefault="00287A4B" w:rsidP="00287A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In </w:t>
      </w: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bear markets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, the core provides resilience. Funds with yield or smart beta strategies help soften the blow.</w:t>
      </w:r>
    </w:p>
    <w:p w14:paraId="2D7AFAD9" w14:textId="77777777" w:rsidR="00287A4B" w:rsidRPr="00287A4B" w:rsidRDefault="00287A4B" w:rsidP="00287A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Always think long-term: Avoid all-in decisions driven by fear or hype.</w:t>
      </w:r>
    </w:p>
    <w:p w14:paraId="61F61373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7: Why Professional Funds Matter</w:t>
      </w:r>
    </w:p>
    <w:p w14:paraId="3854FA98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Many retail investors underestimate the value of professional management. By allocating </w:t>
      </w: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50–70% of your capital to Moolah Capital funds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 or similar vehicles, you benefit from:</w:t>
      </w:r>
    </w:p>
    <w:p w14:paraId="2F1E6E90" w14:textId="77777777" w:rsidR="00287A4B" w:rsidRPr="00287A4B" w:rsidRDefault="00287A4B" w:rsidP="00287A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Diversification across dozens of assets and strategies.</w:t>
      </w:r>
    </w:p>
    <w:p w14:paraId="3D845FE2" w14:textId="77777777" w:rsidR="00287A4B" w:rsidRPr="00287A4B" w:rsidRDefault="00287A4B" w:rsidP="00287A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Access to opportunities (arbitrage, market-making, yield farming) that are hard to execute as an individual.</w:t>
      </w:r>
    </w:p>
    <w:p w14:paraId="1A5F2537" w14:textId="77777777" w:rsidR="00287A4B" w:rsidRPr="00287A4B" w:rsidRDefault="00287A4B" w:rsidP="00287A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AI-driven insights and faster execution.</w:t>
      </w:r>
    </w:p>
    <w:p w14:paraId="4F2366BA" w14:textId="77777777" w:rsidR="00287A4B" w:rsidRPr="00287A4B" w:rsidRDefault="00287A4B" w:rsidP="00287A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Lower risk of losing everything to a single bad bet.</w:t>
      </w:r>
    </w:p>
    <w:p w14:paraId="1C28CCCF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In practice, this means your £10,000 is more likely to survive and grow over multiple cycles, rather than being wiped out in a downturn.</w:t>
      </w:r>
    </w:p>
    <w:p w14:paraId="6445CF81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 Model Portfolio Example</w:t>
      </w:r>
    </w:p>
    <w:p w14:paraId="65366B71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Here’s what a balanced allocation might look like:</w:t>
      </w:r>
    </w:p>
    <w:p w14:paraId="73C4B73F" w14:textId="77777777" w:rsidR="00287A4B" w:rsidRPr="00287A4B" w:rsidRDefault="00287A4B" w:rsidP="00287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£2,500 (25%) — Passive Index Fund</w:t>
      </w:r>
    </w:p>
    <w:p w14:paraId="5CB6ECFD" w14:textId="77777777" w:rsidR="00287A4B" w:rsidRPr="00287A4B" w:rsidRDefault="00287A4B" w:rsidP="00287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£1,500 (15%) — Smart Beta Fund (Momentum)</w:t>
      </w:r>
    </w:p>
    <w:p w14:paraId="70AE7E8C" w14:textId="77777777" w:rsidR="00287A4B" w:rsidRPr="00287A4B" w:rsidRDefault="00287A4B" w:rsidP="00287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£1,500 (15%) — Yield Fund (staking, lending, liquidity)</w:t>
      </w:r>
    </w:p>
    <w:p w14:paraId="7139BC7D" w14:textId="77777777" w:rsidR="00287A4B" w:rsidRPr="00287A4B" w:rsidRDefault="00287A4B" w:rsidP="00287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£500 (5%) — Special Situations Fund</w:t>
      </w:r>
    </w:p>
    <w:p w14:paraId="4F00FC86" w14:textId="77777777" w:rsidR="00287A4B" w:rsidRPr="00287A4B" w:rsidRDefault="00287A4B" w:rsidP="00287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£1,000 (10%) —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GenAI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Fund (custom or mirrored strategy)</w:t>
      </w:r>
    </w:p>
    <w:p w14:paraId="73E476EB" w14:textId="77777777" w:rsidR="00287A4B" w:rsidRPr="00287A4B" w:rsidRDefault="00287A4B" w:rsidP="00287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£3,000 (30%) — Direct altcoins, </w:t>
      </w:r>
      <w:proofErr w:type="spellStart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 xml:space="preserve"> protocols, or AI-built satellites</w:t>
      </w:r>
    </w:p>
    <w:p w14:paraId="1EB31833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This model portfolio captures stability, income, growth, and innovation — while maintaining risk balance.</w:t>
      </w:r>
    </w:p>
    <w:p w14:paraId="57B415B2" w14:textId="77777777" w:rsidR="00287A4B" w:rsidRPr="00287A4B" w:rsidRDefault="00287A4B" w:rsidP="00287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287A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Final Thoughts</w:t>
      </w:r>
    </w:p>
    <w:p w14:paraId="32B13E35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Investing £10,000 in crypto is a serious move, and success depends less on guessing the next 100x token and more on </w:t>
      </w:r>
      <w:r w:rsidRPr="00287A4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building a disciplined, diversified structure</w:t>
      </w: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. By allocating the majority (50–70%) into professional funds and using the remainder for more speculative plays, you can participate in upside while still sleeping at night.</w:t>
      </w:r>
    </w:p>
    <w:p w14:paraId="54AC4A59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The real advantage of this framework is that it grows with you: as your capital expands, you can simply adjust the percentages, rebalance, and add new funds or satellites without reinventing your strategy.</w:t>
      </w:r>
    </w:p>
    <w:p w14:paraId="70AD2307" w14:textId="77777777" w:rsidR="00287A4B" w:rsidRPr="00287A4B" w:rsidRDefault="00287A4B" w:rsidP="00287A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87A4B">
        <w:rPr>
          <w:rFonts w:ascii="Times New Roman" w:eastAsia="Times New Roman" w:hAnsi="Times New Roman" w:cs="Times New Roman"/>
          <w:color w:val="000000"/>
          <w:lang w:eastAsia="en-GB"/>
        </w:rPr>
        <w:t>Crypto markets are volatile, but with a thoughtful plan, £10,000 can become the foundation of a portfolio that survives downturns, thrives in upswings, and compounds wealth over time.</w:t>
      </w:r>
    </w:p>
    <w:p w14:paraId="5566893B" w14:textId="77777777" w:rsidR="00FB1BF4" w:rsidRDefault="00287A4B"/>
    <w:sectPr w:rsidR="00FB1BF4" w:rsidSect="001303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4A9"/>
    <w:multiLevelType w:val="multilevel"/>
    <w:tmpl w:val="71E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B6A62"/>
    <w:multiLevelType w:val="multilevel"/>
    <w:tmpl w:val="168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4967"/>
    <w:multiLevelType w:val="multilevel"/>
    <w:tmpl w:val="7AB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4272"/>
    <w:multiLevelType w:val="multilevel"/>
    <w:tmpl w:val="A45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231BB"/>
    <w:multiLevelType w:val="multilevel"/>
    <w:tmpl w:val="4650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24248"/>
    <w:multiLevelType w:val="multilevel"/>
    <w:tmpl w:val="274A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01A68"/>
    <w:multiLevelType w:val="multilevel"/>
    <w:tmpl w:val="943A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91829"/>
    <w:multiLevelType w:val="multilevel"/>
    <w:tmpl w:val="043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4B"/>
    <w:rsid w:val="0013031A"/>
    <w:rsid w:val="00287A4B"/>
    <w:rsid w:val="00573E87"/>
    <w:rsid w:val="00654E0E"/>
    <w:rsid w:val="00A11FA4"/>
    <w:rsid w:val="00B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EBB12"/>
  <w15:chartTrackingRefBased/>
  <w15:docId w15:val="{76E12699-3C3C-A742-8485-083E52B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A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87A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4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7A4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7A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287A4B"/>
  </w:style>
  <w:style w:type="character" w:styleId="Strong">
    <w:name w:val="Strong"/>
    <w:basedOn w:val="DefaultParagraphFont"/>
    <w:uiPriority w:val="22"/>
    <w:qFormat/>
    <w:rsid w:val="00287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idone</dc:creator>
  <cp:keywords/>
  <dc:description/>
  <cp:lastModifiedBy>lucio idone</cp:lastModifiedBy>
  <cp:revision>1</cp:revision>
  <dcterms:created xsi:type="dcterms:W3CDTF">2025-08-16T12:02:00Z</dcterms:created>
  <dcterms:modified xsi:type="dcterms:W3CDTF">2025-08-16T12:02:00Z</dcterms:modified>
</cp:coreProperties>
</file>